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2DE1F" w14:textId="2D68C7C7" w:rsidR="006D2A6E" w:rsidRDefault="006D2A6E" w:rsidP="00D01E7E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D01E7E">
        <w:rPr>
          <w:rFonts w:asciiTheme="minorHAnsi" w:hAnsiTheme="minorHAnsi" w:cstheme="minorHAnsi"/>
          <w:b/>
          <w:bCs/>
          <w:sz w:val="20"/>
          <w:szCs w:val="20"/>
        </w:rPr>
        <w:t xml:space="preserve">Lipid Extraction from Tissues Using the </w:t>
      </w:r>
      <w:r w:rsidR="00403165">
        <w:rPr>
          <w:rFonts w:asciiTheme="minorHAnsi" w:hAnsiTheme="minorHAnsi" w:cstheme="minorHAnsi"/>
          <w:b/>
          <w:bCs/>
          <w:sz w:val="20"/>
          <w:szCs w:val="20"/>
        </w:rPr>
        <w:t>Matyash</w:t>
      </w:r>
      <w:r w:rsidRPr="00D01E7E">
        <w:rPr>
          <w:rFonts w:asciiTheme="minorHAnsi" w:hAnsiTheme="minorHAnsi" w:cstheme="minorHAnsi"/>
          <w:b/>
          <w:bCs/>
          <w:sz w:val="20"/>
          <w:szCs w:val="20"/>
        </w:rPr>
        <w:t xml:space="preserve"> Method</w:t>
      </w:r>
    </w:p>
    <w:p w14:paraId="75B7BCAE" w14:textId="77777777" w:rsidR="00D01E7E" w:rsidRDefault="00D01E7E" w:rsidP="00D01E7E">
      <w:pPr>
        <w:spacing w:line="276" w:lineRule="auto"/>
        <w:rPr>
          <w:rFonts w:asciiTheme="minorHAnsi" w:hAnsiTheme="minorHAnsi" w:cstheme="minorHAnsi"/>
          <w:b/>
          <w:bCs/>
          <w:sz w:val="16"/>
          <w:szCs w:val="16"/>
        </w:rPr>
      </w:pPr>
    </w:p>
    <w:p w14:paraId="7F3F8545" w14:textId="1A2BE36F" w:rsidR="007A7FB7" w:rsidRPr="006D71B7" w:rsidRDefault="007A7FB7" w:rsidP="007A7FB7">
      <w:pPr>
        <w:pStyle w:val="Heading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1.</w:t>
      </w:r>
      <w:r w:rsidRPr="006D71B7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Purpose</w:t>
      </w:r>
    </w:p>
    <w:p w14:paraId="79B71C6A" w14:textId="272B10F9" w:rsidR="007A7FB7" w:rsidRPr="007A7FB7" w:rsidRDefault="0079527E" w:rsidP="00D01E7E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684269">
        <w:rPr>
          <w:rFonts w:asciiTheme="minorHAnsi" w:eastAsia="inter" w:hAnsiTheme="minorHAnsi" w:cstheme="minorHAnsi"/>
          <w:color w:val="000000"/>
          <w:sz w:val="20"/>
          <w:szCs w:val="20"/>
        </w:rPr>
        <w:t>The purpose of this SOP is</w:t>
      </w:r>
      <w:r>
        <w:rPr>
          <w:rFonts w:asciiTheme="minorHAnsi" w:eastAsia="inter" w:hAnsiTheme="minorHAnsi" w:cstheme="minorHAnsi"/>
          <w:color w:val="000000"/>
          <w:sz w:val="20"/>
          <w:szCs w:val="20"/>
        </w:rPr>
        <w:t xml:space="preserve"> to </w:t>
      </w:r>
      <w:r w:rsidRPr="00F574AD">
        <w:rPr>
          <w:rFonts w:asciiTheme="minorHAnsi" w:eastAsia="inter" w:hAnsiTheme="minorHAnsi" w:cstheme="minorHAnsi"/>
          <w:color w:val="000000"/>
          <w:sz w:val="20"/>
          <w:szCs w:val="20"/>
        </w:rPr>
        <w:t xml:space="preserve">outline the standardized </w:t>
      </w:r>
      <w:r>
        <w:rPr>
          <w:rFonts w:asciiTheme="minorHAnsi" w:eastAsia="inter" w:hAnsiTheme="minorHAnsi" w:cstheme="minorHAnsi"/>
          <w:color w:val="000000"/>
          <w:sz w:val="20"/>
          <w:szCs w:val="20"/>
        </w:rPr>
        <w:t xml:space="preserve">procedure for </w:t>
      </w:r>
      <w:r w:rsidRPr="00F574AD">
        <w:rPr>
          <w:rFonts w:asciiTheme="minorHAnsi" w:eastAsia="inter" w:hAnsiTheme="minorHAnsi" w:cstheme="minorHAnsi"/>
          <w:color w:val="000000"/>
          <w:sz w:val="20"/>
          <w:szCs w:val="20"/>
        </w:rPr>
        <w:t>extracti</w:t>
      </w:r>
      <w:r>
        <w:rPr>
          <w:rFonts w:asciiTheme="minorHAnsi" w:eastAsia="inter" w:hAnsiTheme="minorHAnsi" w:cstheme="minorHAnsi"/>
          <w:color w:val="000000"/>
          <w:sz w:val="20"/>
          <w:szCs w:val="20"/>
        </w:rPr>
        <w:t>ng</w:t>
      </w:r>
      <w:r w:rsidRPr="00F574AD">
        <w:rPr>
          <w:rFonts w:asciiTheme="minorHAnsi" w:eastAsia="inter" w:hAnsiTheme="minorHAnsi" w:cstheme="minorHAnsi"/>
          <w:color w:val="000000"/>
          <w:sz w:val="20"/>
          <w:szCs w:val="20"/>
        </w:rPr>
        <w:t xml:space="preserve"> lipids from </w:t>
      </w:r>
      <w:r>
        <w:rPr>
          <w:rFonts w:asciiTheme="minorHAnsi" w:eastAsia="inter" w:hAnsiTheme="minorHAnsi" w:cstheme="minorHAnsi"/>
          <w:color w:val="000000"/>
          <w:sz w:val="20"/>
          <w:szCs w:val="20"/>
        </w:rPr>
        <w:t xml:space="preserve">tissue </w:t>
      </w:r>
      <w:r w:rsidRPr="00F574AD">
        <w:rPr>
          <w:rFonts w:asciiTheme="minorHAnsi" w:eastAsia="inter" w:hAnsiTheme="minorHAnsi" w:cstheme="minorHAnsi"/>
          <w:color w:val="000000"/>
          <w:sz w:val="20"/>
          <w:szCs w:val="20"/>
        </w:rPr>
        <w:t xml:space="preserve">for </w:t>
      </w:r>
      <w:r>
        <w:rPr>
          <w:rFonts w:asciiTheme="minorHAnsi" w:eastAsia="inter" w:hAnsiTheme="minorHAnsi" w:cstheme="minorHAnsi"/>
          <w:color w:val="000000"/>
          <w:sz w:val="20"/>
          <w:szCs w:val="20"/>
        </w:rPr>
        <w:t xml:space="preserve">targeted and untargeted lipidomics analysis </w:t>
      </w:r>
      <w:r w:rsidRPr="00F574AD">
        <w:rPr>
          <w:rFonts w:asciiTheme="minorHAnsi" w:eastAsia="inter" w:hAnsiTheme="minorHAnsi" w:cstheme="minorHAnsi"/>
          <w:color w:val="000000"/>
          <w:sz w:val="20"/>
          <w:szCs w:val="20"/>
        </w:rPr>
        <w:t xml:space="preserve">by LC-MS. </w:t>
      </w:r>
      <w:bookmarkStart w:id="0" w:name="_Hlk205992946"/>
      <w:r w:rsidRPr="00F574AD">
        <w:rPr>
          <w:rFonts w:asciiTheme="minorHAnsi" w:eastAsia="inter" w:hAnsiTheme="minorHAnsi" w:cstheme="minorHAnsi"/>
          <w:color w:val="000000"/>
          <w:sz w:val="20"/>
          <w:szCs w:val="20"/>
        </w:rPr>
        <w:t>The procedure is designed to maximize recovery of diverse lipid classes while maintaining reproducibility and comparability across experiments</w:t>
      </w:r>
      <w:bookmarkEnd w:id="0"/>
      <w:r w:rsidR="007A7FB7" w:rsidRPr="00216FAB">
        <w:rPr>
          <w:rFonts w:asciiTheme="minorHAnsi" w:eastAsia="inter" w:hAnsiTheme="minorHAnsi" w:cstheme="minorHAnsi"/>
          <w:color w:val="000000"/>
          <w:sz w:val="20"/>
          <w:szCs w:val="20"/>
        </w:rPr>
        <w:t>.</w:t>
      </w:r>
      <w:r w:rsidR="007A7FB7" w:rsidRPr="00216FAB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20BA0B42" w14:textId="1F5847D4" w:rsidR="00D01E7E" w:rsidRPr="006D71B7" w:rsidRDefault="007A7FB7" w:rsidP="00D01E7E">
      <w:pPr>
        <w:pStyle w:val="Heading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</w:t>
      </w:r>
      <w:r w:rsidR="00D01E7E" w:rsidRPr="006D71B7">
        <w:rPr>
          <w:rFonts w:asciiTheme="minorHAnsi" w:hAnsiTheme="minorHAnsi" w:cstheme="minorHAnsi"/>
          <w:sz w:val="20"/>
          <w:szCs w:val="20"/>
        </w:rPr>
        <w:t>.</w:t>
      </w:r>
      <w:r w:rsidR="00D01E7E" w:rsidRPr="006D71B7">
        <w:rPr>
          <w:rFonts w:asciiTheme="minorHAnsi" w:hAnsiTheme="minorHAnsi" w:cstheme="minorHAnsi"/>
          <w:sz w:val="20"/>
          <w:szCs w:val="20"/>
        </w:rPr>
        <w:tab/>
      </w:r>
      <w:r w:rsidR="00D01E7E">
        <w:rPr>
          <w:rFonts w:asciiTheme="minorHAnsi" w:hAnsiTheme="minorHAnsi" w:cstheme="minorHAnsi"/>
          <w:sz w:val="20"/>
          <w:szCs w:val="20"/>
        </w:rPr>
        <w:t>Scope</w:t>
      </w:r>
    </w:p>
    <w:p w14:paraId="6FC46CE1" w14:textId="7078B972" w:rsidR="00D01E7E" w:rsidRPr="00DF39B1" w:rsidRDefault="00DF39B1" w:rsidP="00D01E7E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F39B1">
        <w:rPr>
          <w:rFonts w:asciiTheme="minorHAnsi" w:hAnsiTheme="minorHAnsi" w:cstheme="minorHAnsi"/>
          <w:sz w:val="20"/>
          <w:szCs w:val="20"/>
        </w:rPr>
        <w:t>This SOP outlines the procedure for extracting lipids from tissue samples using a biphasic MTBE/methanol/water solvent system based on Matyash, V., et al. (2008) for sphingolipid profiling in murine tissues. The protocol supports targeted and untargeted lipidomics workflows and is compatible with high-throughput batch analysis</w:t>
      </w:r>
      <w:r w:rsidR="00D01E7E" w:rsidRPr="00DF39B1">
        <w:rPr>
          <w:rFonts w:asciiTheme="minorHAnsi" w:hAnsiTheme="minorHAnsi" w:cstheme="minorHAnsi"/>
          <w:sz w:val="20"/>
          <w:szCs w:val="20"/>
        </w:rPr>
        <w:t>.</w:t>
      </w:r>
    </w:p>
    <w:p w14:paraId="74A87538" w14:textId="1FEEAED3" w:rsidR="007A7FB7" w:rsidRPr="006D71B7" w:rsidRDefault="007A7FB7" w:rsidP="007A7FB7">
      <w:pPr>
        <w:pStyle w:val="Heading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3.</w:t>
      </w:r>
      <w:r w:rsidRPr="006D71B7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Responsibility</w:t>
      </w:r>
    </w:p>
    <w:p w14:paraId="7DA5DDFA" w14:textId="77777777" w:rsidR="007A7FB7" w:rsidRPr="00495C6D" w:rsidRDefault="007A7FB7" w:rsidP="007A7FB7">
      <w:pPr>
        <w:pStyle w:val="ListParagraph"/>
        <w:numPr>
          <w:ilvl w:val="0"/>
          <w:numId w:val="38"/>
        </w:numPr>
        <w:spacing w:line="360" w:lineRule="auto"/>
        <w:rPr>
          <w:rFonts w:asciiTheme="minorHAnsi"/>
          <w:sz w:val="20"/>
          <w:szCs w:val="20"/>
        </w:rPr>
      </w:pPr>
      <w:r w:rsidRPr="00216FAB">
        <w:rPr>
          <w:rFonts w:asciiTheme="minorHAnsi" w:eastAsia="inter" w:cs="inter"/>
          <w:color w:val="000000"/>
          <w:sz w:val="20"/>
          <w:szCs w:val="20"/>
        </w:rPr>
        <w:t>Laboratory staff must follow this SOP as written.</w:t>
      </w:r>
    </w:p>
    <w:p w14:paraId="64A64FE6" w14:textId="69264BBE" w:rsidR="00495C6D" w:rsidRPr="00216FAB" w:rsidRDefault="00495C6D" w:rsidP="007A7FB7">
      <w:pPr>
        <w:pStyle w:val="ListParagraph"/>
        <w:numPr>
          <w:ilvl w:val="0"/>
          <w:numId w:val="38"/>
        </w:numPr>
        <w:spacing w:line="360" w:lineRule="auto"/>
        <w:rPr>
          <w:rFonts w:asciiTheme="minorHAnsi"/>
          <w:sz w:val="20"/>
          <w:szCs w:val="20"/>
        </w:rPr>
      </w:pPr>
      <w:r>
        <w:rPr>
          <w:rFonts w:asciiTheme="minorHAnsi" w:eastAsia="inter" w:cs="inter"/>
          <w:color w:val="000000"/>
          <w:sz w:val="20"/>
          <w:szCs w:val="20"/>
        </w:rPr>
        <w:t>The lab manager or designated supervisor is responsible for training, compliance, and periodic review of this procedure.</w:t>
      </w:r>
    </w:p>
    <w:p w14:paraId="0F5BC164" w14:textId="0D880E1A" w:rsidR="00D01E7E" w:rsidRDefault="007A7FB7" w:rsidP="00D01E7E">
      <w:pPr>
        <w:pStyle w:val="Heading2"/>
        <w:pBdr>
          <w:bottom w:val="single" w:sz="4" w:space="2" w:color="000080"/>
        </w:pBd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4</w:t>
      </w:r>
      <w:r w:rsidR="00D01E7E" w:rsidRPr="006D71B7">
        <w:rPr>
          <w:rFonts w:asciiTheme="minorHAnsi" w:hAnsiTheme="minorHAnsi" w:cstheme="minorHAnsi"/>
          <w:sz w:val="20"/>
          <w:szCs w:val="20"/>
        </w:rPr>
        <w:t>.</w:t>
      </w:r>
      <w:r w:rsidR="00D01E7E" w:rsidRPr="006D71B7">
        <w:rPr>
          <w:rFonts w:asciiTheme="minorHAnsi" w:hAnsiTheme="minorHAnsi" w:cstheme="minorHAnsi"/>
          <w:sz w:val="20"/>
          <w:szCs w:val="20"/>
        </w:rPr>
        <w:tab/>
      </w:r>
      <w:bookmarkStart w:id="1" w:name="_Hlk205469065"/>
      <w:r w:rsidR="00D01E7E">
        <w:rPr>
          <w:rFonts w:asciiTheme="minorHAnsi" w:hAnsiTheme="minorHAnsi" w:cstheme="minorHAnsi"/>
          <w:sz w:val="20"/>
          <w:szCs w:val="20"/>
        </w:rPr>
        <w:t>Safety Considerations</w:t>
      </w:r>
    </w:p>
    <w:p w14:paraId="2FB0F28F" w14:textId="77777777" w:rsidR="00AA6C9A" w:rsidRPr="00AA6C9A" w:rsidRDefault="00D01E7E" w:rsidP="00AA6C9A">
      <w:pPr>
        <w:pStyle w:val="ListParagraph"/>
        <w:numPr>
          <w:ilvl w:val="0"/>
          <w:numId w:val="30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Perform all steps in a fume hood.</w:t>
      </w:r>
    </w:p>
    <w:p w14:paraId="0453FF64" w14:textId="123FABDD" w:rsidR="00D01E7E" w:rsidRPr="00AA6C9A" w:rsidRDefault="00D01E7E" w:rsidP="00AA6C9A">
      <w:pPr>
        <w:pStyle w:val="ListParagraph"/>
        <w:numPr>
          <w:ilvl w:val="0"/>
          <w:numId w:val="30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Wear appropriate PPE: lab coat, gloves, and safety glasses.</w:t>
      </w:r>
    </w:p>
    <w:p w14:paraId="257960BE" w14:textId="3A4676D4" w:rsidR="00D01E7E" w:rsidRPr="00DF39B1" w:rsidRDefault="00DF39B1" w:rsidP="00AA6C9A">
      <w:pPr>
        <w:pStyle w:val="ListParagraph"/>
        <w:numPr>
          <w:ilvl w:val="0"/>
          <w:numId w:val="30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DF39B1">
        <w:rPr>
          <w:rFonts w:asciiTheme="minorHAnsi" w:hAnsiTheme="minorHAnsi" w:cstheme="minorHAnsi"/>
          <w:sz w:val="20"/>
          <w:szCs w:val="20"/>
        </w:rPr>
        <w:t>MTBE, methanol, acetonitrile, and isopropanol are flammable and toxic—consult safety data sheets (SDS) prior to use</w:t>
      </w:r>
      <w:r w:rsidR="006C2343">
        <w:rPr>
          <w:rFonts w:asciiTheme="minorHAnsi" w:hAnsiTheme="minorHAnsi" w:cstheme="minorHAnsi"/>
          <w:sz w:val="20"/>
          <w:szCs w:val="20"/>
        </w:rPr>
        <w:t>.</w:t>
      </w:r>
    </w:p>
    <w:p w14:paraId="09918AD9" w14:textId="13D566BC" w:rsidR="00D01E7E" w:rsidRPr="00AA6C9A" w:rsidRDefault="00D01E7E" w:rsidP="00AA6C9A">
      <w:pPr>
        <w:pStyle w:val="ListParagraph"/>
        <w:numPr>
          <w:ilvl w:val="0"/>
          <w:numId w:val="30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Dispose of organic</w:t>
      </w:r>
      <w:r w:rsidR="00A146CF">
        <w:rPr>
          <w:rFonts w:asciiTheme="minorHAnsi" w:hAnsiTheme="minorHAnsi" w:cstheme="minorHAnsi"/>
          <w:sz w:val="20"/>
          <w:szCs w:val="20"/>
        </w:rPr>
        <w:t xml:space="preserve"> solvents and biological</w:t>
      </w:r>
      <w:r w:rsidRPr="00AA6C9A">
        <w:rPr>
          <w:rFonts w:asciiTheme="minorHAnsi" w:hAnsiTheme="minorHAnsi" w:cstheme="minorHAnsi"/>
          <w:sz w:val="20"/>
          <w:szCs w:val="20"/>
        </w:rPr>
        <w:t xml:space="preserve"> waste according to institutional regulations.</w:t>
      </w:r>
    </w:p>
    <w:bookmarkEnd w:id="1"/>
    <w:p w14:paraId="5DB8959E" w14:textId="6D2C6BAB" w:rsidR="00D01E7E" w:rsidRPr="006D71B7" w:rsidRDefault="007A7FB7" w:rsidP="00D01E7E">
      <w:pPr>
        <w:pStyle w:val="Heading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5</w:t>
      </w:r>
      <w:r w:rsidR="00D01E7E" w:rsidRPr="006D71B7">
        <w:rPr>
          <w:rFonts w:asciiTheme="minorHAnsi" w:hAnsiTheme="minorHAnsi" w:cstheme="minorHAnsi"/>
          <w:sz w:val="20"/>
          <w:szCs w:val="20"/>
        </w:rPr>
        <w:t>.</w:t>
      </w:r>
      <w:r w:rsidR="00D01E7E" w:rsidRPr="006D71B7">
        <w:rPr>
          <w:rFonts w:asciiTheme="minorHAnsi" w:hAnsiTheme="minorHAnsi" w:cstheme="minorHAnsi"/>
          <w:sz w:val="20"/>
          <w:szCs w:val="20"/>
        </w:rPr>
        <w:tab/>
      </w:r>
      <w:r w:rsidR="00D01E7E">
        <w:rPr>
          <w:rFonts w:asciiTheme="minorHAnsi" w:hAnsiTheme="minorHAnsi" w:cstheme="minorHAnsi"/>
          <w:sz w:val="20"/>
          <w:szCs w:val="20"/>
        </w:rPr>
        <w:t>Materials and Reagents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5"/>
        <w:gridCol w:w="4516"/>
      </w:tblGrid>
      <w:tr w:rsidR="00D01E7E" w:rsidRPr="006D2A6E" w14:paraId="4D1507F5" w14:textId="77777777" w:rsidTr="0035049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EA10CD9" w14:textId="77777777" w:rsidR="00D01E7E" w:rsidRPr="006D2A6E" w:rsidRDefault="00D01E7E" w:rsidP="0035049A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1376BBF3" w14:textId="77777777" w:rsidR="00D01E7E" w:rsidRPr="006D2A6E" w:rsidRDefault="00D01E7E" w:rsidP="0035049A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Details</w:t>
            </w:r>
          </w:p>
        </w:tc>
      </w:tr>
      <w:tr w:rsidR="00D01E7E" w:rsidRPr="006D2A6E" w14:paraId="058C3666" w14:textId="77777777" w:rsidTr="0035049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DF2210" w14:textId="1500543E" w:rsidR="00D01E7E" w:rsidRPr="0093174D" w:rsidRDefault="0093174D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>Phosphate Buffered Saline (PBS)</w:t>
            </w:r>
          </w:p>
        </w:tc>
        <w:tc>
          <w:tcPr>
            <w:tcW w:w="0" w:type="auto"/>
            <w:vAlign w:val="center"/>
            <w:hideMark/>
          </w:tcPr>
          <w:p w14:paraId="1D2A9469" w14:textId="4D81D4CB" w:rsidR="00D01E7E" w:rsidRPr="0093174D" w:rsidRDefault="0093174D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>LC-MS grade (e.g. Fisher 10010031)</w:t>
            </w:r>
          </w:p>
        </w:tc>
      </w:tr>
      <w:tr w:rsidR="00D01E7E" w:rsidRPr="006D2A6E" w14:paraId="74530D5B" w14:textId="77777777" w:rsidTr="0035049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0F87A5" w14:textId="0E18634C" w:rsidR="00D01E7E" w:rsidRPr="0093174D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>Methanol</w:t>
            </w:r>
            <w:r w:rsidR="00FA7406">
              <w:rPr>
                <w:rFonts w:asciiTheme="minorHAnsi" w:hAnsiTheme="minorHAnsi" w:cstheme="minorHAnsi"/>
                <w:sz w:val="20"/>
                <w:szCs w:val="20"/>
              </w:rPr>
              <w:t xml:space="preserve"> (MeOH)</w:t>
            </w:r>
          </w:p>
        </w:tc>
        <w:tc>
          <w:tcPr>
            <w:tcW w:w="0" w:type="auto"/>
            <w:vAlign w:val="center"/>
            <w:hideMark/>
          </w:tcPr>
          <w:p w14:paraId="41D3C5AB" w14:textId="77777777" w:rsidR="00D01E7E" w:rsidRPr="0093174D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>LC-MS grade (e.g. Honeywell B&amp;J LC-230-4)</w:t>
            </w:r>
          </w:p>
        </w:tc>
      </w:tr>
      <w:tr w:rsidR="00E1063C" w:rsidRPr="006D2A6E" w14:paraId="0380BEC3" w14:textId="77777777" w:rsidTr="0035049A">
        <w:trPr>
          <w:tblCellSpacing w:w="15" w:type="dxa"/>
        </w:trPr>
        <w:tc>
          <w:tcPr>
            <w:tcW w:w="0" w:type="auto"/>
            <w:vAlign w:val="center"/>
          </w:tcPr>
          <w:p w14:paraId="1B6168E7" w14:textId="4D95AEF2" w:rsidR="00E1063C" w:rsidRPr="0093174D" w:rsidRDefault="00E1063C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>Water</w:t>
            </w:r>
          </w:p>
        </w:tc>
        <w:tc>
          <w:tcPr>
            <w:tcW w:w="0" w:type="auto"/>
            <w:vAlign w:val="center"/>
          </w:tcPr>
          <w:p w14:paraId="03021F8B" w14:textId="45888B08" w:rsidR="00E1063C" w:rsidRPr="0093174D" w:rsidRDefault="00E1063C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 xml:space="preserve">LC-MS grade (18.2 MΩ·cm or equivalent) </w:t>
            </w:r>
          </w:p>
        </w:tc>
      </w:tr>
      <w:tr w:rsidR="00D01E7E" w:rsidRPr="006D2A6E" w14:paraId="76AE68A2" w14:textId="77777777" w:rsidTr="0035049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344CE7" w14:textId="2E9E6BD2" w:rsidR="0093174D" w:rsidRPr="0093174D" w:rsidRDefault="0093174D" w:rsidP="0093174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>Methy</w:t>
            </w:r>
            <w:r w:rsidR="00A11F31"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>-tert</w:t>
            </w:r>
            <w:r w:rsidR="00A11F31">
              <w:rPr>
                <w:rFonts w:asciiTheme="minorHAnsi" w:hAnsiTheme="minorHAnsi" w:cstheme="minorHAnsi"/>
                <w:sz w:val="20"/>
                <w:szCs w:val="20"/>
              </w:rPr>
              <w:t>-b</w:t>
            </w: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 xml:space="preserve">utyl </w:t>
            </w:r>
            <w:r w:rsidR="00A11F31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 xml:space="preserve">ther (MTBE)  </w:t>
            </w:r>
          </w:p>
        </w:tc>
        <w:tc>
          <w:tcPr>
            <w:tcW w:w="0" w:type="auto"/>
            <w:vAlign w:val="center"/>
            <w:hideMark/>
          </w:tcPr>
          <w:p w14:paraId="3E7702AC" w14:textId="238DCDC4" w:rsidR="0093174D" w:rsidRPr="0093174D" w:rsidRDefault="0093174D" w:rsidP="0093174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>LC-MS grade (e.g. Fisher E127-4)</w:t>
            </w:r>
          </w:p>
        </w:tc>
      </w:tr>
      <w:tr w:rsidR="00EA454B" w:rsidRPr="006D2A6E" w14:paraId="27663B86" w14:textId="77777777" w:rsidTr="0035049A">
        <w:trPr>
          <w:tblCellSpacing w:w="15" w:type="dxa"/>
        </w:trPr>
        <w:tc>
          <w:tcPr>
            <w:tcW w:w="0" w:type="auto"/>
            <w:vAlign w:val="center"/>
          </w:tcPr>
          <w:p w14:paraId="13F21017" w14:textId="15BD346E" w:rsidR="00EA454B" w:rsidRPr="0093174D" w:rsidRDefault="00EA454B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Isoprop</w:t>
            </w:r>
            <w:r w:rsidR="00B72B24">
              <w:rPr>
                <w:rFonts w:asciiTheme="minorHAnsi" w:hAnsiTheme="minorHAnsi" w:cstheme="minorHAnsi"/>
                <w:sz w:val="20"/>
                <w:szCs w:val="20"/>
              </w:rPr>
              <w:t>anol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(IPA)</w:t>
            </w:r>
          </w:p>
        </w:tc>
        <w:tc>
          <w:tcPr>
            <w:tcW w:w="0" w:type="auto"/>
            <w:vAlign w:val="center"/>
          </w:tcPr>
          <w:p w14:paraId="486009D6" w14:textId="0CC7DD0B" w:rsidR="00EA454B" w:rsidRPr="0093174D" w:rsidRDefault="00EA454B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LC-MS grade</w:t>
            </w:r>
          </w:p>
        </w:tc>
      </w:tr>
      <w:tr w:rsidR="00D01E7E" w:rsidRPr="006D2A6E" w14:paraId="2A818DD2" w14:textId="77777777" w:rsidTr="0035049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F0FB20" w14:textId="77777777" w:rsidR="00D01E7E" w:rsidRPr="0093174D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>Tissue homogenizer</w:t>
            </w:r>
          </w:p>
        </w:tc>
        <w:tc>
          <w:tcPr>
            <w:tcW w:w="0" w:type="auto"/>
            <w:vAlign w:val="center"/>
            <w:hideMark/>
          </w:tcPr>
          <w:p w14:paraId="06DEC03D" w14:textId="0D8494C7" w:rsidR="00D01E7E" w:rsidRPr="0093174D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>Bead mill or rotor-stator</w:t>
            </w:r>
            <w:r w:rsidR="00FA74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A7406" w:rsidRPr="00FA7406">
              <w:rPr>
                <w:rFonts w:asciiTheme="minorHAnsi" w:hAnsiTheme="minorHAnsi" w:cstheme="minorHAnsi"/>
                <w:sz w:val="20"/>
                <w:szCs w:val="20"/>
              </w:rPr>
              <w:t>(e.g., Omni Bead Ruptor Elite)</w:t>
            </w:r>
          </w:p>
        </w:tc>
      </w:tr>
      <w:tr w:rsidR="00D01E7E" w:rsidRPr="006D2A6E" w14:paraId="58787F38" w14:textId="77777777" w:rsidTr="0035049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2A8AD4" w14:textId="77777777" w:rsidR="00D01E7E" w:rsidRPr="0093174D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>Internal standards</w:t>
            </w:r>
          </w:p>
        </w:tc>
        <w:tc>
          <w:tcPr>
            <w:tcW w:w="0" w:type="auto"/>
            <w:vAlign w:val="center"/>
            <w:hideMark/>
          </w:tcPr>
          <w:p w14:paraId="461CC32D" w14:textId="07DBEB8B" w:rsidR="00D01E7E" w:rsidRPr="0093174D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 xml:space="preserve">See Section </w:t>
            </w:r>
            <w:r w:rsidR="00A42787" w:rsidRPr="0093174D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93174D">
              <w:rPr>
                <w:rFonts w:asciiTheme="minorHAnsi" w:hAnsiTheme="minorHAnsi" w:cstheme="minorHAnsi"/>
                <w:sz w:val="20"/>
                <w:szCs w:val="20"/>
              </w:rPr>
              <w:t>.1</w:t>
            </w:r>
          </w:p>
        </w:tc>
      </w:tr>
      <w:tr w:rsidR="00D01E7E" w:rsidRPr="006D2A6E" w14:paraId="4DBFF2EE" w14:textId="77777777" w:rsidTr="0035049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B57A70" w14:textId="77777777" w:rsidR="00D01E7E" w:rsidRPr="006D2A6E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Tubes</w:t>
            </w:r>
          </w:p>
        </w:tc>
        <w:tc>
          <w:tcPr>
            <w:tcW w:w="0" w:type="auto"/>
            <w:vAlign w:val="center"/>
            <w:hideMark/>
          </w:tcPr>
          <w:p w14:paraId="4A26CE2A" w14:textId="77777777" w:rsidR="00D01E7E" w:rsidRPr="006D2A6E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sz w:val="20"/>
                <w:szCs w:val="20"/>
              </w:rPr>
              <w:t>Solvent-resistant, glass or polypropylene, 1.5–5 mL</w:t>
            </w:r>
          </w:p>
        </w:tc>
      </w:tr>
      <w:tr w:rsidR="00D01E7E" w:rsidRPr="006D2A6E" w14:paraId="113584FD" w14:textId="77777777" w:rsidTr="0035049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D76DD9" w14:textId="77777777" w:rsidR="00D01E7E" w:rsidRPr="006D2A6E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sz w:val="20"/>
                <w:szCs w:val="20"/>
              </w:rPr>
              <w:t>Centrifuge</w:t>
            </w:r>
          </w:p>
        </w:tc>
        <w:tc>
          <w:tcPr>
            <w:tcW w:w="0" w:type="auto"/>
            <w:vAlign w:val="center"/>
            <w:hideMark/>
          </w:tcPr>
          <w:p w14:paraId="7E9E126B" w14:textId="77777777" w:rsidR="00D01E7E" w:rsidRPr="006D2A6E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sz w:val="20"/>
                <w:szCs w:val="20"/>
              </w:rPr>
              <w:t>Capable of ≥14,000 × g</w:t>
            </w:r>
          </w:p>
        </w:tc>
      </w:tr>
      <w:tr w:rsidR="00D01E7E" w:rsidRPr="006D2A6E" w14:paraId="260476BE" w14:textId="77777777" w:rsidTr="0035049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3BA9F6" w14:textId="77777777" w:rsidR="00D01E7E" w:rsidRPr="006D2A6E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sz w:val="20"/>
                <w:szCs w:val="20"/>
              </w:rPr>
              <w:t>Vortexer and sonicator</w:t>
            </w:r>
          </w:p>
        </w:tc>
        <w:tc>
          <w:tcPr>
            <w:tcW w:w="0" w:type="auto"/>
            <w:vAlign w:val="center"/>
            <w:hideMark/>
          </w:tcPr>
          <w:p w14:paraId="04F42A39" w14:textId="77777777" w:rsidR="00D01E7E" w:rsidRPr="006D2A6E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sz w:val="20"/>
                <w:szCs w:val="20"/>
              </w:rPr>
              <w:t>For mixing and solubilizing</w:t>
            </w:r>
          </w:p>
        </w:tc>
      </w:tr>
      <w:tr w:rsidR="00D01E7E" w:rsidRPr="006D2A6E" w14:paraId="5395FAF8" w14:textId="77777777" w:rsidTr="0035049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4C2D0B" w14:textId="77777777" w:rsidR="00D01E7E" w:rsidRPr="006D2A6E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sz w:val="20"/>
                <w:szCs w:val="20"/>
              </w:rPr>
              <w:t>Nitrogen evaporator/SpeedVac</w:t>
            </w:r>
          </w:p>
        </w:tc>
        <w:tc>
          <w:tcPr>
            <w:tcW w:w="0" w:type="auto"/>
            <w:vAlign w:val="center"/>
            <w:hideMark/>
          </w:tcPr>
          <w:p w14:paraId="4968C68D" w14:textId="77777777" w:rsidR="00D01E7E" w:rsidRPr="006D2A6E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sz w:val="20"/>
                <w:szCs w:val="20"/>
              </w:rPr>
              <w:t>For drying pellets</w:t>
            </w:r>
          </w:p>
        </w:tc>
      </w:tr>
      <w:tr w:rsidR="00D01E7E" w:rsidRPr="006D2A6E" w14:paraId="029E2961" w14:textId="77777777" w:rsidTr="0035049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C9DD93" w14:textId="77777777" w:rsidR="00D01E7E" w:rsidRPr="006D2A6E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sz w:val="20"/>
                <w:szCs w:val="20"/>
              </w:rPr>
              <w:t>LC-MS vials</w:t>
            </w:r>
          </w:p>
        </w:tc>
        <w:tc>
          <w:tcPr>
            <w:tcW w:w="0" w:type="auto"/>
            <w:vAlign w:val="center"/>
            <w:hideMark/>
          </w:tcPr>
          <w:p w14:paraId="4A46364E" w14:textId="77777777" w:rsidR="00D01E7E" w:rsidRPr="006D2A6E" w:rsidRDefault="00D01E7E" w:rsidP="0035049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sz w:val="20"/>
                <w:szCs w:val="20"/>
              </w:rPr>
              <w:t>e.g., Agilent 5182-0554</w:t>
            </w:r>
          </w:p>
        </w:tc>
      </w:tr>
    </w:tbl>
    <w:p w14:paraId="734D4D30" w14:textId="6D680A20" w:rsidR="00D01E7E" w:rsidRPr="006D71B7" w:rsidRDefault="007A7FB7" w:rsidP="00D01E7E">
      <w:pPr>
        <w:pStyle w:val="Heading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6</w:t>
      </w:r>
      <w:r w:rsidR="00D01E7E" w:rsidRPr="006D71B7">
        <w:rPr>
          <w:rFonts w:asciiTheme="minorHAnsi" w:hAnsiTheme="minorHAnsi" w:cstheme="minorHAnsi"/>
          <w:sz w:val="20"/>
          <w:szCs w:val="20"/>
        </w:rPr>
        <w:t>.</w:t>
      </w:r>
      <w:r w:rsidR="00D01E7E" w:rsidRPr="006D71B7">
        <w:rPr>
          <w:rFonts w:asciiTheme="minorHAnsi" w:hAnsiTheme="minorHAnsi" w:cstheme="minorHAnsi"/>
          <w:sz w:val="20"/>
          <w:szCs w:val="20"/>
        </w:rPr>
        <w:tab/>
      </w:r>
      <w:r w:rsidR="00D01E7E">
        <w:rPr>
          <w:rFonts w:asciiTheme="minorHAnsi" w:hAnsiTheme="minorHAnsi" w:cstheme="minorHAnsi"/>
          <w:sz w:val="20"/>
          <w:szCs w:val="20"/>
        </w:rPr>
        <w:t>Sample Requirements</w:t>
      </w:r>
    </w:p>
    <w:p w14:paraId="47102ADD" w14:textId="77777777" w:rsidR="00D01E7E" w:rsidRPr="00AA6C9A" w:rsidRDefault="00D01E7E" w:rsidP="00AA6C9A">
      <w:pPr>
        <w:pStyle w:val="ListParagraph"/>
        <w:numPr>
          <w:ilvl w:val="0"/>
          <w:numId w:val="31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Recommended starting material: 5–30 mg frozen tissue</w:t>
      </w:r>
    </w:p>
    <w:p w14:paraId="52493EC5" w14:textId="77777777" w:rsidR="00D01E7E" w:rsidRPr="00AA6C9A" w:rsidRDefault="00D01E7E" w:rsidP="00AA6C9A">
      <w:pPr>
        <w:pStyle w:val="ListParagraph"/>
        <w:numPr>
          <w:ilvl w:val="0"/>
          <w:numId w:val="31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Accurately record wet weight before extraction</w:t>
      </w:r>
    </w:p>
    <w:p w14:paraId="7AD343C6" w14:textId="1531B09D" w:rsidR="00D01E7E" w:rsidRPr="00FA7406" w:rsidRDefault="00D01E7E" w:rsidP="00D01E7E">
      <w:pPr>
        <w:pStyle w:val="ListParagraph"/>
        <w:numPr>
          <w:ilvl w:val="0"/>
          <w:numId w:val="31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 xml:space="preserve">Dry weight may be </w:t>
      </w:r>
      <w:r w:rsidR="00EF7887" w:rsidRPr="00AA6C9A">
        <w:rPr>
          <w:rFonts w:asciiTheme="minorHAnsi" w:hAnsiTheme="minorHAnsi" w:cstheme="minorHAnsi"/>
          <w:sz w:val="20"/>
          <w:szCs w:val="20"/>
        </w:rPr>
        <w:t>determined by</w:t>
      </w:r>
      <w:r w:rsidRPr="00AA6C9A">
        <w:rPr>
          <w:rFonts w:asciiTheme="minorHAnsi" w:hAnsiTheme="minorHAnsi" w:cstheme="minorHAnsi"/>
          <w:sz w:val="20"/>
          <w:szCs w:val="20"/>
        </w:rPr>
        <w:t xml:space="preserve"> post-extraction for normalization</w:t>
      </w:r>
    </w:p>
    <w:p w14:paraId="15DBFBA4" w14:textId="402AB786" w:rsidR="00D01E7E" w:rsidRPr="006D71B7" w:rsidRDefault="007A7FB7" w:rsidP="00D01E7E">
      <w:pPr>
        <w:pStyle w:val="Heading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7</w:t>
      </w:r>
      <w:r w:rsidR="00D01E7E" w:rsidRPr="006D71B7">
        <w:rPr>
          <w:rFonts w:asciiTheme="minorHAnsi" w:hAnsiTheme="minorHAnsi" w:cstheme="minorHAnsi"/>
          <w:sz w:val="20"/>
          <w:szCs w:val="20"/>
        </w:rPr>
        <w:t>.</w:t>
      </w:r>
      <w:r w:rsidR="00D01E7E" w:rsidRPr="006D71B7">
        <w:rPr>
          <w:rFonts w:asciiTheme="minorHAnsi" w:hAnsiTheme="minorHAnsi" w:cstheme="minorHAnsi"/>
          <w:sz w:val="20"/>
          <w:szCs w:val="20"/>
        </w:rPr>
        <w:tab/>
      </w:r>
      <w:r w:rsidR="000B4ECA">
        <w:rPr>
          <w:rFonts w:asciiTheme="minorHAnsi" w:hAnsiTheme="minorHAnsi" w:cstheme="minorHAnsi"/>
          <w:sz w:val="20"/>
          <w:szCs w:val="20"/>
        </w:rPr>
        <w:t>Reagent Preparation</w:t>
      </w:r>
    </w:p>
    <w:p w14:paraId="440BDA6C" w14:textId="2C36487A" w:rsidR="006D2A6E" w:rsidRPr="000B4ECA" w:rsidRDefault="00686547" w:rsidP="00D01E7E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6D2A6E" w:rsidRPr="000B4ECA">
        <w:rPr>
          <w:rFonts w:asciiTheme="minorHAnsi" w:hAnsiTheme="minorHAnsi" w:cstheme="minorHAnsi"/>
          <w:b/>
          <w:bCs/>
          <w:sz w:val="20"/>
          <w:szCs w:val="20"/>
        </w:rPr>
        <w:t>.1 Extraction Solvent with Internal Standards</w:t>
      </w:r>
    </w:p>
    <w:p w14:paraId="15C727D2" w14:textId="05DF7C9F" w:rsidR="006D2A6E" w:rsidRPr="00FA7406" w:rsidRDefault="00FA7406" w:rsidP="00D01E7E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A7406">
        <w:rPr>
          <w:rFonts w:asciiTheme="minorHAnsi" w:hAnsiTheme="minorHAnsi" w:cstheme="minorHAnsi"/>
          <w:sz w:val="20"/>
          <w:szCs w:val="20"/>
        </w:rPr>
        <w:t>Add internal standards below directly to the methanol, ensuring the final volume of methanol added to each sample is 225 µL</w:t>
      </w:r>
      <w:r w:rsidR="006D2A6E" w:rsidRPr="00FA740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CellSpacing w:w="15" w:type="dxa"/>
        <w:tblInd w:w="-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5"/>
        <w:gridCol w:w="2226"/>
        <w:gridCol w:w="2409"/>
      </w:tblGrid>
      <w:tr w:rsidR="006D2A6E" w:rsidRPr="006D2A6E" w14:paraId="1D27F861" w14:textId="77777777" w:rsidTr="00A11F31">
        <w:trPr>
          <w:tblHeader/>
          <w:tblCellSpacing w:w="15" w:type="dxa"/>
        </w:trPr>
        <w:tc>
          <w:tcPr>
            <w:tcW w:w="4050" w:type="dxa"/>
            <w:vAlign w:val="center"/>
            <w:hideMark/>
          </w:tcPr>
          <w:p w14:paraId="144F5AD0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2" w:name="_Hlk203727142"/>
            <w:r w:rsidRPr="006D2A6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Standard</w:t>
            </w:r>
          </w:p>
        </w:tc>
        <w:tc>
          <w:tcPr>
            <w:tcW w:w="2196" w:type="dxa"/>
            <w:vAlign w:val="center"/>
            <w:hideMark/>
          </w:tcPr>
          <w:p w14:paraId="435BA7E4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Avanti PN</w:t>
            </w:r>
          </w:p>
        </w:tc>
        <w:tc>
          <w:tcPr>
            <w:tcW w:w="2364" w:type="dxa"/>
            <w:vAlign w:val="center"/>
            <w:hideMark/>
          </w:tcPr>
          <w:p w14:paraId="2E44B6DD" w14:textId="224A8395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pmol/sample</w:t>
            </w:r>
          </w:p>
        </w:tc>
      </w:tr>
      <w:tr w:rsidR="006D2A6E" w:rsidRPr="006D2A6E" w14:paraId="1B874169" w14:textId="77777777" w:rsidTr="00A11F31">
        <w:trPr>
          <w:tblCellSpacing w:w="15" w:type="dxa"/>
        </w:trPr>
        <w:tc>
          <w:tcPr>
            <w:tcW w:w="4050" w:type="dxa"/>
            <w:vAlign w:val="bottom"/>
            <w:hideMark/>
          </w:tcPr>
          <w:p w14:paraId="21706EA4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C16 Ceramide-d7 (d18:1-d7/16:0)</w:t>
            </w:r>
          </w:p>
        </w:tc>
        <w:tc>
          <w:tcPr>
            <w:tcW w:w="2196" w:type="dxa"/>
            <w:vAlign w:val="bottom"/>
            <w:hideMark/>
          </w:tcPr>
          <w:p w14:paraId="71515567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860676P-1mg</w:t>
            </w:r>
          </w:p>
        </w:tc>
        <w:tc>
          <w:tcPr>
            <w:tcW w:w="2364" w:type="dxa"/>
            <w:vAlign w:val="bottom"/>
            <w:hideMark/>
          </w:tcPr>
          <w:p w14:paraId="584649BA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367.0</w:t>
            </w:r>
          </w:p>
        </w:tc>
      </w:tr>
      <w:tr w:rsidR="006D2A6E" w:rsidRPr="006D2A6E" w14:paraId="669C282E" w14:textId="77777777" w:rsidTr="00A11F31">
        <w:trPr>
          <w:tblCellSpacing w:w="15" w:type="dxa"/>
        </w:trPr>
        <w:tc>
          <w:tcPr>
            <w:tcW w:w="4050" w:type="dxa"/>
            <w:vAlign w:val="bottom"/>
            <w:hideMark/>
          </w:tcPr>
          <w:p w14:paraId="2EE50EA5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C18 Ceramide-d7 (d18:1-d7/18:0)</w:t>
            </w:r>
          </w:p>
        </w:tc>
        <w:tc>
          <w:tcPr>
            <w:tcW w:w="2196" w:type="dxa"/>
            <w:vAlign w:val="bottom"/>
            <w:hideMark/>
          </w:tcPr>
          <w:p w14:paraId="246F9DF2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860677P-1mg</w:t>
            </w:r>
          </w:p>
        </w:tc>
        <w:tc>
          <w:tcPr>
            <w:tcW w:w="2364" w:type="dxa"/>
            <w:vAlign w:val="bottom"/>
            <w:hideMark/>
          </w:tcPr>
          <w:p w14:paraId="690B03C2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349.0</w:t>
            </w:r>
          </w:p>
        </w:tc>
      </w:tr>
      <w:tr w:rsidR="006D2A6E" w:rsidRPr="006D2A6E" w14:paraId="12C68460" w14:textId="77777777" w:rsidTr="00A11F31">
        <w:trPr>
          <w:tblCellSpacing w:w="15" w:type="dxa"/>
        </w:trPr>
        <w:tc>
          <w:tcPr>
            <w:tcW w:w="4050" w:type="dxa"/>
            <w:vAlign w:val="bottom"/>
            <w:hideMark/>
          </w:tcPr>
          <w:p w14:paraId="0FBE4C79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C24 Ceramide-d7 (d18:1-d7/24:0)</w:t>
            </w:r>
          </w:p>
        </w:tc>
        <w:tc>
          <w:tcPr>
            <w:tcW w:w="2196" w:type="dxa"/>
            <w:vAlign w:val="bottom"/>
            <w:hideMark/>
          </w:tcPr>
          <w:p w14:paraId="128876AE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860678P-1mg</w:t>
            </w:r>
          </w:p>
        </w:tc>
        <w:tc>
          <w:tcPr>
            <w:tcW w:w="2364" w:type="dxa"/>
            <w:vAlign w:val="bottom"/>
            <w:hideMark/>
          </w:tcPr>
          <w:p w14:paraId="183DB7F2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304.3</w:t>
            </w:r>
          </w:p>
        </w:tc>
      </w:tr>
      <w:tr w:rsidR="006D2A6E" w:rsidRPr="006D2A6E" w14:paraId="61A7D6E5" w14:textId="77777777" w:rsidTr="00A11F31">
        <w:trPr>
          <w:tblCellSpacing w:w="15" w:type="dxa"/>
        </w:trPr>
        <w:tc>
          <w:tcPr>
            <w:tcW w:w="4050" w:type="dxa"/>
            <w:vAlign w:val="bottom"/>
            <w:hideMark/>
          </w:tcPr>
          <w:p w14:paraId="64D118F6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C24:1 Ceramide-d7 (d18:1-d7/24:1)</w:t>
            </w:r>
          </w:p>
        </w:tc>
        <w:tc>
          <w:tcPr>
            <w:tcW w:w="2196" w:type="dxa"/>
            <w:vAlign w:val="bottom"/>
            <w:hideMark/>
          </w:tcPr>
          <w:p w14:paraId="44B77726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860679P-1mg</w:t>
            </w:r>
          </w:p>
        </w:tc>
        <w:tc>
          <w:tcPr>
            <w:tcW w:w="2364" w:type="dxa"/>
            <w:vAlign w:val="bottom"/>
            <w:hideMark/>
          </w:tcPr>
          <w:p w14:paraId="4D62C837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305.3</w:t>
            </w:r>
          </w:p>
        </w:tc>
      </w:tr>
      <w:tr w:rsidR="006D2A6E" w:rsidRPr="006D2A6E" w14:paraId="18905423" w14:textId="77777777" w:rsidTr="00A11F31">
        <w:trPr>
          <w:tblCellSpacing w:w="15" w:type="dxa"/>
        </w:trPr>
        <w:tc>
          <w:tcPr>
            <w:tcW w:w="4050" w:type="dxa"/>
            <w:vAlign w:val="bottom"/>
            <w:hideMark/>
          </w:tcPr>
          <w:p w14:paraId="3291AB7F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C8 Dihydroceramide (d18:0/8:0)</w:t>
            </w:r>
          </w:p>
        </w:tc>
        <w:tc>
          <w:tcPr>
            <w:tcW w:w="2196" w:type="dxa"/>
            <w:vAlign w:val="bottom"/>
            <w:hideMark/>
          </w:tcPr>
          <w:p w14:paraId="196CE388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860626 5 mg</w:t>
            </w:r>
          </w:p>
        </w:tc>
        <w:tc>
          <w:tcPr>
            <w:tcW w:w="2364" w:type="dxa"/>
            <w:vAlign w:val="bottom"/>
            <w:hideMark/>
          </w:tcPr>
          <w:p w14:paraId="01619B52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77.9</w:t>
            </w:r>
          </w:p>
        </w:tc>
      </w:tr>
      <w:tr w:rsidR="006D2A6E" w:rsidRPr="006D2A6E" w14:paraId="1E84321D" w14:textId="77777777" w:rsidTr="00A11F31">
        <w:trPr>
          <w:tblCellSpacing w:w="15" w:type="dxa"/>
        </w:trPr>
        <w:tc>
          <w:tcPr>
            <w:tcW w:w="4050" w:type="dxa"/>
            <w:vAlign w:val="bottom"/>
          </w:tcPr>
          <w:p w14:paraId="73F870CB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N-12:0-1-deoxysphinganine</w:t>
            </w:r>
          </w:p>
        </w:tc>
        <w:tc>
          <w:tcPr>
            <w:tcW w:w="2196" w:type="dxa"/>
            <w:vAlign w:val="bottom"/>
          </w:tcPr>
          <w:p w14:paraId="1D0C1C4A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860481 1mg</w:t>
            </w:r>
          </w:p>
        </w:tc>
        <w:tc>
          <w:tcPr>
            <w:tcW w:w="2364" w:type="dxa"/>
            <w:vAlign w:val="bottom"/>
          </w:tcPr>
          <w:p w14:paraId="74A5FA67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35.6</w:t>
            </w:r>
          </w:p>
        </w:tc>
      </w:tr>
      <w:tr w:rsidR="006D2A6E" w:rsidRPr="006D2A6E" w14:paraId="5006B520" w14:textId="77777777" w:rsidTr="00A11F31">
        <w:trPr>
          <w:tblCellSpacing w:w="15" w:type="dxa"/>
        </w:trPr>
        <w:tc>
          <w:tcPr>
            <w:tcW w:w="4050" w:type="dxa"/>
            <w:vAlign w:val="bottom"/>
          </w:tcPr>
          <w:p w14:paraId="50833D34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C17 Glucosylceramide (d18:1/17:0)</w:t>
            </w:r>
          </w:p>
        </w:tc>
        <w:tc>
          <w:tcPr>
            <w:tcW w:w="2196" w:type="dxa"/>
            <w:vAlign w:val="bottom"/>
          </w:tcPr>
          <w:p w14:paraId="55CFD658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860569P-5mg</w:t>
            </w:r>
          </w:p>
        </w:tc>
        <w:tc>
          <w:tcPr>
            <w:tcW w:w="2364" w:type="dxa"/>
            <w:vAlign w:val="bottom"/>
          </w:tcPr>
          <w:p w14:paraId="215EE1BC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280.1</w:t>
            </w:r>
          </w:p>
        </w:tc>
      </w:tr>
      <w:tr w:rsidR="006D2A6E" w:rsidRPr="006D2A6E" w14:paraId="14BF6146" w14:textId="77777777" w:rsidTr="00A11F31">
        <w:trPr>
          <w:tblCellSpacing w:w="15" w:type="dxa"/>
        </w:trPr>
        <w:tc>
          <w:tcPr>
            <w:tcW w:w="4050" w:type="dxa"/>
            <w:vAlign w:val="bottom"/>
          </w:tcPr>
          <w:p w14:paraId="2C5F5F92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sphinganine-1-phosphate-d7</w:t>
            </w:r>
          </w:p>
        </w:tc>
        <w:tc>
          <w:tcPr>
            <w:tcW w:w="2196" w:type="dxa"/>
            <w:vAlign w:val="bottom"/>
          </w:tcPr>
          <w:p w14:paraId="61E240CC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860694P-1mg</w:t>
            </w:r>
          </w:p>
        </w:tc>
        <w:tc>
          <w:tcPr>
            <w:tcW w:w="2364" w:type="dxa"/>
            <w:vAlign w:val="bottom"/>
          </w:tcPr>
          <w:p w14:paraId="3FDCCD5E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34.3</w:t>
            </w:r>
          </w:p>
        </w:tc>
      </w:tr>
      <w:tr w:rsidR="006D2A6E" w:rsidRPr="006D2A6E" w14:paraId="3F40293E" w14:textId="77777777" w:rsidTr="00A11F31">
        <w:trPr>
          <w:tblCellSpacing w:w="15" w:type="dxa"/>
        </w:trPr>
        <w:tc>
          <w:tcPr>
            <w:tcW w:w="4050" w:type="dxa"/>
            <w:vAlign w:val="bottom"/>
          </w:tcPr>
          <w:p w14:paraId="0D0370E8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sphingosine-1-phosphate-d7</w:t>
            </w:r>
          </w:p>
        </w:tc>
        <w:tc>
          <w:tcPr>
            <w:tcW w:w="2196" w:type="dxa"/>
            <w:vAlign w:val="bottom"/>
          </w:tcPr>
          <w:p w14:paraId="580F29C7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860659P-1mg</w:t>
            </w:r>
          </w:p>
        </w:tc>
        <w:tc>
          <w:tcPr>
            <w:tcW w:w="2364" w:type="dxa"/>
            <w:vAlign w:val="bottom"/>
          </w:tcPr>
          <w:p w14:paraId="58C2ABA8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34.5</w:t>
            </w:r>
          </w:p>
        </w:tc>
      </w:tr>
      <w:tr w:rsidR="006D2A6E" w:rsidRPr="006D2A6E" w14:paraId="5095CE5C" w14:textId="77777777" w:rsidTr="00A11F31">
        <w:trPr>
          <w:tblCellSpacing w:w="15" w:type="dxa"/>
        </w:trPr>
        <w:tc>
          <w:tcPr>
            <w:tcW w:w="4050" w:type="dxa"/>
            <w:vAlign w:val="bottom"/>
          </w:tcPr>
          <w:p w14:paraId="1B7B07DE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Sphingosine-d7</w:t>
            </w:r>
          </w:p>
        </w:tc>
        <w:tc>
          <w:tcPr>
            <w:tcW w:w="2196" w:type="dxa"/>
            <w:vAlign w:val="bottom"/>
          </w:tcPr>
          <w:p w14:paraId="59E9890B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860657P-1mg</w:t>
            </w:r>
          </w:p>
        </w:tc>
        <w:tc>
          <w:tcPr>
            <w:tcW w:w="2364" w:type="dxa"/>
            <w:vAlign w:val="bottom"/>
          </w:tcPr>
          <w:p w14:paraId="6F3B4A14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32.6</w:t>
            </w:r>
          </w:p>
        </w:tc>
      </w:tr>
      <w:tr w:rsidR="006D2A6E" w:rsidRPr="006D2A6E" w14:paraId="493222A6" w14:textId="77777777" w:rsidTr="00A11F31">
        <w:trPr>
          <w:tblCellSpacing w:w="15" w:type="dxa"/>
        </w:trPr>
        <w:tc>
          <w:tcPr>
            <w:tcW w:w="4050" w:type="dxa"/>
            <w:vAlign w:val="bottom"/>
          </w:tcPr>
          <w:p w14:paraId="1E1A8B3F" w14:textId="18121D69" w:rsidR="006D2A6E" w:rsidRPr="006D2A6E" w:rsidRDefault="00A11F31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F3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SM(d18:1/16:0-d31)</w:t>
            </w:r>
          </w:p>
        </w:tc>
        <w:tc>
          <w:tcPr>
            <w:tcW w:w="2196" w:type="dxa"/>
            <w:vAlign w:val="bottom"/>
          </w:tcPr>
          <w:p w14:paraId="7B5CB1F8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868584</w:t>
            </w:r>
          </w:p>
        </w:tc>
        <w:tc>
          <w:tcPr>
            <w:tcW w:w="2364" w:type="dxa"/>
            <w:vAlign w:val="bottom"/>
          </w:tcPr>
          <w:p w14:paraId="2E247F3D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681.0</w:t>
            </w:r>
          </w:p>
        </w:tc>
      </w:tr>
      <w:tr w:rsidR="006D2A6E" w:rsidRPr="006D2A6E" w14:paraId="3F5AC1D1" w14:textId="77777777" w:rsidTr="00A11F31">
        <w:trPr>
          <w:tblCellSpacing w:w="15" w:type="dxa"/>
        </w:trPr>
        <w:tc>
          <w:tcPr>
            <w:tcW w:w="4050" w:type="dxa"/>
            <w:vAlign w:val="bottom"/>
          </w:tcPr>
          <w:p w14:paraId="23680BD4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PC(15:0-18:1(d7))</w:t>
            </w:r>
          </w:p>
        </w:tc>
        <w:tc>
          <w:tcPr>
            <w:tcW w:w="2196" w:type="dxa"/>
            <w:vAlign w:val="bottom"/>
          </w:tcPr>
          <w:p w14:paraId="699A8F77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791637C-1mg</w:t>
            </w:r>
          </w:p>
        </w:tc>
        <w:tc>
          <w:tcPr>
            <w:tcW w:w="2364" w:type="dxa"/>
            <w:vAlign w:val="bottom"/>
          </w:tcPr>
          <w:p w14:paraId="697EC50F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663.9</w:t>
            </w:r>
          </w:p>
        </w:tc>
      </w:tr>
      <w:tr w:rsidR="006D2A6E" w:rsidRPr="006D2A6E" w14:paraId="536544FA" w14:textId="77777777" w:rsidTr="00A11F31">
        <w:trPr>
          <w:tblCellSpacing w:w="15" w:type="dxa"/>
        </w:trPr>
        <w:tc>
          <w:tcPr>
            <w:tcW w:w="4050" w:type="dxa"/>
            <w:vAlign w:val="bottom"/>
          </w:tcPr>
          <w:p w14:paraId="17CA41F3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DG(15:0-18:1(d7))</w:t>
            </w:r>
          </w:p>
        </w:tc>
        <w:tc>
          <w:tcPr>
            <w:tcW w:w="2196" w:type="dxa"/>
            <w:vAlign w:val="bottom"/>
          </w:tcPr>
          <w:p w14:paraId="4550C4A5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791647C-1mg</w:t>
            </w:r>
          </w:p>
        </w:tc>
        <w:tc>
          <w:tcPr>
            <w:tcW w:w="2364" w:type="dxa"/>
            <w:vAlign w:val="bottom"/>
          </w:tcPr>
          <w:p w14:paraId="4694BEB7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850.4</w:t>
            </w:r>
          </w:p>
        </w:tc>
      </w:tr>
      <w:tr w:rsidR="006D2A6E" w:rsidRPr="006D2A6E" w14:paraId="516D096D" w14:textId="77777777" w:rsidTr="00A11F31">
        <w:trPr>
          <w:tblCellSpacing w:w="15" w:type="dxa"/>
        </w:trPr>
        <w:tc>
          <w:tcPr>
            <w:tcW w:w="4050" w:type="dxa"/>
            <w:vAlign w:val="bottom"/>
          </w:tcPr>
          <w:p w14:paraId="6F140422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TG(15:0-18:1(d7)-15:0)</w:t>
            </w:r>
          </w:p>
        </w:tc>
        <w:tc>
          <w:tcPr>
            <w:tcW w:w="2196" w:type="dxa"/>
            <w:vAlign w:val="bottom"/>
          </w:tcPr>
          <w:p w14:paraId="6DEF79F8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791648C-1mg</w:t>
            </w:r>
          </w:p>
        </w:tc>
        <w:tc>
          <w:tcPr>
            <w:tcW w:w="2364" w:type="dxa"/>
            <w:vAlign w:val="bottom"/>
          </w:tcPr>
          <w:p w14:paraId="17271569" w14:textId="77777777" w:rsidR="006D2A6E" w:rsidRPr="006D2A6E" w:rsidRDefault="006D2A6E" w:rsidP="00D01E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D2A6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615.5</w:t>
            </w:r>
          </w:p>
        </w:tc>
      </w:tr>
    </w:tbl>
    <w:bookmarkEnd w:id="2"/>
    <w:p w14:paraId="5F0F81D9" w14:textId="77777777" w:rsidR="006D2A6E" w:rsidRPr="006D2A6E" w:rsidRDefault="006D2A6E" w:rsidP="00D01E7E">
      <w:pPr>
        <w:pStyle w:val="ListParagraph"/>
        <w:numPr>
          <w:ilvl w:val="0"/>
          <w:numId w:val="28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6D2A6E">
        <w:rPr>
          <w:rFonts w:asciiTheme="minorHAnsi" w:hAnsiTheme="minorHAnsi" w:cstheme="minorHAnsi"/>
          <w:sz w:val="20"/>
          <w:szCs w:val="20"/>
        </w:rPr>
        <w:t>Store solvent at −20 °C if not used immediately. Bring to room temperature before use.</w:t>
      </w:r>
    </w:p>
    <w:p w14:paraId="70F54735" w14:textId="77777777" w:rsidR="006D2A6E" w:rsidRPr="006D2A6E" w:rsidRDefault="006D2A6E" w:rsidP="00D01E7E">
      <w:pPr>
        <w:spacing w:line="276" w:lineRule="auto"/>
        <w:ind w:firstLine="360"/>
        <w:rPr>
          <w:rFonts w:asciiTheme="minorHAnsi" w:hAnsiTheme="minorHAnsi" w:cstheme="minorHAnsi"/>
          <w:sz w:val="20"/>
          <w:szCs w:val="20"/>
        </w:rPr>
      </w:pPr>
      <w:r w:rsidRPr="006D2A6E">
        <w:rPr>
          <w:rFonts w:asciiTheme="minorHAnsi" w:hAnsiTheme="minorHAnsi" w:cstheme="minorHAnsi"/>
          <w:sz w:val="20"/>
          <w:szCs w:val="20"/>
        </w:rPr>
        <w:lastRenderedPageBreak/>
        <w:t>-</w:t>
      </w:r>
      <w:r w:rsidRPr="006D2A6E">
        <w:rPr>
          <w:rFonts w:asciiTheme="minorHAnsi" w:hAnsiTheme="minorHAnsi" w:cstheme="minorHAnsi"/>
          <w:sz w:val="20"/>
          <w:szCs w:val="20"/>
        </w:rPr>
        <w:tab/>
        <w:t>Suggested standards and amounts shown here, consult the core when needed.</w:t>
      </w:r>
    </w:p>
    <w:p w14:paraId="0CB9B33E" w14:textId="4AD99E77" w:rsidR="006D2A6E" w:rsidRPr="000B4ECA" w:rsidRDefault="007A7FB7" w:rsidP="000B4ECA">
      <w:pPr>
        <w:pStyle w:val="Heading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0B4ECA">
        <w:rPr>
          <w:rFonts w:asciiTheme="minorHAnsi" w:hAnsiTheme="minorHAnsi" w:cstheme="minorHAnsi"/>
          <w:sz w:val="20"/>
          <w:szCs w:val="20"/>
        </w:rPr>
        <w:t>.</w:t>
      </w:r>
      <w:r w:rsidR="000B4ECA" w:rsidRPr="006D71B7">
        <w:rPr>
          <w:rFonts w:asciiTheme="minorHAnsi" w:hAnsiTheme="minorHAnsi" w:cstheme="minorHAnsi"/>
          <w:sz w:val="20"/>
          <w:szCs w:val="20"/>
        </w:rPr>
        <w:tab/>
      </w:r>
      <w:r w:rsidR="000B4ECA">
        <w:rPr>
          <w:rFonts w:asciiTheme="minorHAnsi" w:hAnsiTheme="minorHAnsi" w:cstheme="minorHAnsi"/>
          <w:sz w:val="20"/>
          <w:szCs w:val="20"/>
        </w:rPr>
        <w:t>Procedure</w:t>
      </w:r>
      <w:r w:rsidR="000B4ECA" w:rsidRPr="006D71B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B1E1615" w14:textId="548F7B40" w:rsidR="006D2A6E" w:rsidRPr="006D2A6E" w:rsidRDefault="007A7FB7" w:rsidP="00D01E7E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="006D2A6E" w:rsidRPr="006D2A6E">
        <w:rPr>
          <w:rFonts w:asciiTheme="minorHAnsi" w:hAnsiTheme="minorHAnsi" w:cstheme="minorHAnsi"/>
          <w:b/>
          <w:bCs/>
          <w:sz w:val="20"/>
          <w:szCs w:val="20"/>
        </w:rPr>
        <w:t>.1 Homogenization</w:t>
      </w:r>
    </w:p>
    <w:p w14:paraId="5C42052F" w14:textId="77777777" w:rsidR="006D2A6E" w:rsidRPr="00C61AF5" w:rsidRDefault="006D2A6E" w:rsidP="00AA6C9A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Record the weight of the empty tube.</w:t>
      </w:r>
    </w:p>
    <w:p w14:paraId="6BCDC8F1" w14:textId="77777777" w:rsidR="006D2A6E" w:rsidRPr="00C61AF5" w:rsidRDefault="006D2A6E" w:rsidP="00AA6C9A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Weigh 5–30 mg frozen tissue and record the wet weight.</w:t>
      </w:r>
    </w:p>
    <w:p w14:paraId="50A2C2D5" w14:textId="58582F5D" w:rsidR="006D2A6E" w:rsidRPr="00C61AF5" w:rsidRDefault="00FA7406" w:rsidP="00AA6C9A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 xml:space="preserve">Add 188 µL of PBS and 225 µL of MeOH containing internal standards to bead mill tubes containing tissue </w:t>
      </w:r>
      <w:r w:rsidR="006D2A6E" w:rsidRPr="00C61AF5">
        <w:rPr>
          <w:rFonts w:asciiTheme="minorHAnsi" w:hAnsiTheme="minorHAnsi" w:cstheme="minorHAnsi"/>
          <w:sz w:val="20"/>
          <w:szCs w:val="20"/>
        </w:rPr>
        <w:t xml:space="preserve">(from Section </w:t>
      </w:r>
      <w:r w:rsidR="00A42787" w:rsidRPr="00C61AF5">
        <w:rPr>
          <w:rFonts w:asciiTheme="minorHAnsi" w:hAnsiTheme="minorHAnsi" w:cstheme="minorHAnsi"/>
          <w:sz w:val="20"/>
          <w:szCs w:val="20"/>
        </w:rPr>
        <w:t>7</w:t>
      </w:r>
      <w:r w:rsidR="006D2A6E" w:rsidRPr="00C61AF5">
        <w:rPr>
          <w:rFonts w:asciiTheme="minorHAnsi" w:hAnsiTheme="minorHAnsi" w:cstheme="minorHAnsi"/>
          <w:sz w:val="20"/>
          <w:szCs w:val="20"/>
        </w:rPr>
        <w:t>.1).</w:t>
      </w:r>
    </w:p>
    <w:p w14:paraId="1FC3B644" w14:textId="368BAFAD" w:rsidR="00C61AF5" w:rsidRPr="00C61AF5" w:rsidRDefault="006D2A6E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 xml:space="preserve">Homogenize </w:t>
      </w:r>
      <w:r w:rsidR="00C61AF5">
        <w:rPr>
          <w:rFonts w:asciiTheme="minorHAnsi" w:hAnsiTheme="minorHAnsi" w:cstheme="minorHAnsi"/>
          <w:sz w:val="20"/>
          <w:szCs w:val="20"/>
        </w:rPr>
        <w:t xml:space="preserve">samples </w:t>
      </w:r>
      <w:r w:rsidRPr="00C61AF5">
        <w:rPr>
          <w:rFonts w:asciiTheme="minorHAnsi" w:hAnsiTheme="minorHAnsi" w:cstheme="minorHAnsi"/>
          <w:sz w:val="20"/>
          <w:szCs w:val="20"/>
        </w:rPr>
        <w:t xml:space="preserve">using a bead mill </w:t>
      </w:r>
      <w:r w:rsidR="00C61AF5">
        <w:rPr>
          <w:rFonts w:asciiTheme="minorHAnsi" w:hAnsiTheme="minorHAnsi" w:cstheme="minorHAnsi"/>
          <w:sz w:val="20"/>
          <w:szCs w:val="20"/>
        </w:rPr>
        <w:t xml:space="preserve">homogenizer </w:t>
      </w:r>
      <w:r w:rsidRPr="00C61AF5">
        <w:rPr>
          <w:rFonts w:asciiTheme="minorHAnsi" w:hAnsiTheme="minorHAnsi" w:cstheme="minorHAnsi"/>
          <w:sz w:val="20"/>
          <w:szCs w:val="20"/>
        </w:rPr>
        <w:t>(e.g., Omni Bead Ruptor Elite)</w:t>
      </w:r>
      <w:r w:rsidR="00C61AF5">
        <w:rPr>
          <w:rFonts w:asciiTheme="minorHAnsi" w:hAnsiTheme="minorHAnsi" w:cstheme="minorHAnsi"/>
          <w:sz w:val="20"/>
          <w:szCs w:val="20"/>
        </w:rPr>
        <w:t xml:space="preserve"> for 15 seconds</w:t>
      </w:r>
      <w:r w:rsidRPr="00C61AF5">
        <w:rPr>
          <w:rFonts w:asciiTheme="minorHAnsi" w:hAnsiTheme="minorHAnsi" w:cstheme="minorHAnsi"/>
          <w:sz w:val="20"/>
          <w:szCs w:val="20"/>
        </w:rPr>
        <w:t>.</w:t>
      </w:r>
    </w:p>
    <w:p w14:paraId="3E134B86" w14:textId="3B6B2DA6" w:rsidR="00C61AF5" w:rsidRDefault="00C61AF5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Inspect each sample to confirm complete homogenization into the solvent</w:t>
      </w:r>
      <w:r w:rsidR="00A11F31" w:rsidRPr="00A11F31">
        <w:t xml:space="preserve"> </w:t>
      </w:r>
      <w:r w:rsidR="00A11F31" w:rsidRPr="00A11F31">
        <w:rPr>
          <w:rFonts w:asciiTheme="minorHAnsi" w:hAnsiTheme="minorHAnsi" w:cstheme="minorHAnsi"/>
          <w:sz w:val="20"/>
          <w:szCs w:val="20"/>
        </w:rPr>
        <w:t>if particulate clumps or intact material remain, repeat bead mill homogenization for an additional 15 seconds</w:t>
      </w:r>
      <w:r w:rsidRPr="00C61AF5">
        <w:rPr>
          <w:rFonts w:asciiTheme="minorHAnsi" w:hAnsiTheme="minorHAnsi" w:cstheme="minorHAnsi"/>
          <w:sz w:val="20"/>
          <w:szCs w:val="20"/>
        </w:rPr>
        <w:t>.</w:t>
      </w:r>
    </w:p>
    <w:p w14:paraId="1D247A6E" w14:textId="6D98E5DF" w:rsidR="00C61AF5" w:rsidRPr="00C61AF5" w:rsidRDefault="00C61AF5" w:rsidP="00C61AF5">
      <w:pPr>
        <w:spacing w:after="16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C61AF5">
        <w:rPr>
          <w:rFonts w:asciiTheme="minorHAnsi" w:hAnsiTheme="minorHAnsi" w:cstheme="minorHAnsi"/>
          <w:b/>
          <w:bCs/>
          <w:sz w:val="20"/>
          <w:szCs w:val="20"/>
        </w:rPr>
        <w:t>8.2 Extraction and Centrifugation</w:t>
      </w:r>
    </w:p>
    <w:p w14:paraId="2A5E435C" w14:textId="77777777" w:rsidR="00C61AF5" w:rsidRPr="00C61AF5" w:rsidRDefault="00C61AF5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Transfer homogenates to fresh 1.5 mL Eppendorf tubes containing 750 µL of MTBE.</w:t>
      </w:r>
    </w:p>
    <w:p w14:paraId="39AE8D38" w14:textId="77777777" w:rsidR="00C61AF5" w:rsidRPr="00C61AF5" w:rsidRDefault="00C61AF5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Incubate on ice for 60 minutes with intermittent vortexing.</w:t>
      </w:r>
    </w:p>
    <w:p w14:paraId="4B633EF8" w14:textId="77777777" w:rsidR="00C61AF5" w:rsidRPr="00C61AF5" w:rsidRDefault="00C61AF5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Centrifuge samples at 14,000 × g for 10 minutes at 4 °C.</w:t>
      </w:r>
    </w:p>
    <w:p w14:paraId="330EFA6B" w14:textId="77777777" w:rsidR="00C61AF5" w:rsidRDefault="00C61AF5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Collect the upper organic phase and dry under nitrogen or speedvac.</w:t>
      </w:r>
    </w:p>
    <w:p w14:paraId="47632B1A" w14:textId="7AB57D06" w:rsidR="00C61AF5" w:rsidRPr="00C61AF5" w:rsidRDefault="00C61AF5" w:rsidP="00C61AF5">
      <w:pPr>
        <w:spacing w:after="16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C61AF5">
        <w:rPr>
          <w:rFonts w:asciiTheme="minorHAnsi" w:hAnsiTheme="minorHAnsi" w:cstheme="minorHAnsi"/>
          <w:b/>
          <w:bCs/>
          <w:sz w:val="20"/>
          <w:szCs w:val="20"/>
        </w:rPr>
        <w:t>8.3 Re-extraction, Centrifugation, and Re-Suspension</w:t>
      </w:r>
    </w:p>
    <w:p w14:paraId="6780BA1B" w14:textId="77777777" w:rsidR="00C61AF5" w:rsidRPr="00C61AF5" w:rsidRDefault="00C61AF5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Add 645 µL MTBE, 194 µL methanol, and 161 µL LC-MS-grade water (10:3:2.5, v/v/v) directly to the residual aqueous phase from the first extraction (per sample).</w:t>
      </w:r>
    </w:p>
    <w:p w14:paraId="06E77A3C" w14:textId="77777777" w:rsidR="00C61AF5" w:rsidRPr="00C61AF5" w:rsidRDefault="00C61AF5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Incubate on ice for 15 minutes.</w:t>
      </w:r>
    </w:p>
    <w:p w14:paraId="0EB062B4" w14:textId="77777777" w:rsidR="00C61AF5" w:rsidRPr="00C61AF5" w:rsidRDefault="00C61AF5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Centrifuge again at 14,000 × g for 10 minutes at 4 °C.</w:t>
      </w:r>
    </w:p>
    <w:p w14:paraId="5F4F7FBF" w14:textId="6AD15948" w:rsidR="00C61AF5" w:rsidRPr="00C61AF5" w:rsidRDefault="00A11F31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</w:t>
      </w:r>
      <w:r w:rsidR="00C61AF5" w:rsidRPr="00C61AF5">
        <w:rPr>
          <w:rFonts w:asciiTheme="minorHAnsi" w:hAnsiTheme="minorHAnsi" w:cstheme="minorHAnsi"/>
          <w:sz w:val="20"/>
          <w:szCs w:val="20"/>
        </w:rPr>
        <w:t>ollect only the upper organic phase (MTBE-rich layer) without disturbing the interphase or aqueous layer and combine with first extract.</w:t>
      </w:r>
    </w:p>
    <w:p w14:paraId="1082F4B5" w14:textId="32CECC22" w:rsidR="00C61AF5" w:rsidRPr="00C61AF5" w:rsidRDefault="00C61AF5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Evaporate combined organic phases to dryness</w:t>
      </w:r>
      <w:r w:rsidR="0093595E">
        <w:rPr>
          <w:rFonts w:asciiTheme="minorHAnsi" w:hAnsiTheme="minorHAnsi" w:cstheme="minorHAnsi"/>
          <w:sz w:val="20"/>
          <w:szCs w:val="20"/>
        </w:rPr>
        <w:t>.</w:t>
      </w:r>
    </w:p>
    <w:p w14:paraId="6D616399" w14:textId="2B618964" w:rsidR="00C61AF5" w:rsidRPr="00C61AF5" w:rsidRDefault="00C61AF5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 xml:space="preserve">Reconstitute the dried lipid extract in </w:t>
      </w:r>
      <w:r w:rsidR="00F04CF5">
        <w:rPr>
          <w:rFonts w:asciiTheme="minorHAnsi" w:hAnsiTheme="minorHAnsi" w:cstheme="minorHAnsi"/>
          <w:sz w:val="20"/>
          <w:szCs w:val="20"/>
        </w:rPr>
        <w:t>IPA</w:t>
      </w:r>
      <w:r w:rsidRPr="00C61AF5">
        <w:rPr>
          <w:rFonts w:asciiTheme="minorHAnsi" w:hAnsiTheme="minorHAnsi" w:cstheme="minorHAnsi"/>
          <w:sz w:val="20"/>
          <w:szCs w:val="20"/>
        </w:rPr>
        <w:t>.</w:t>
      </w:r>
    </w:p>
    <w:p w14:paraId="2A094760" w14:textId="77777777" w:rsidR="00C61AF5" w:rsidRPr="00C61AF5" w:rsidRDefault="00C61AF5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Centrifuge the reconstituted extracts (14,000 × g, 10 minutes, 4 °C).</w:t>
      </w:r>
    </w:p>
    <w:p w14:paraId="216C240F" w14:textId="4279F89D" w:rsidR="00FA7406" w:rsidRPr="00C61AF5" w:rsidRDefault="00C61AF5" w:rsidP="00C61AF5">
      <w:pPr>
        <w:pStyle w:val="ListParagraph"/>
        <w:numPr>
          <w:ilvl w:val="0"/>
          <w:numId w:val="32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Transfer the clear supernatant to LC-MS vials for analysis</w:t>
      </w:r>
      <w:r w:rsidR="0093595E">
        <w:rPr>
          <w:rFonts w:asciiTheme="minorHAnsi" w:hAnsiTheme="minorHAnsi" w:cstheme="minorHAnsi"/>
          <w:sz w:val="20"/>
          <w:szCs w:val="20"/>
        </w:rPr>
        <w:t>.</w:t>
      </w:r>
    </w:p>
    <w:p w14:paraId="5CEFA513" w14:textId="0DF3CE78" w:rsidR="000B4ECA" w:rsidRPr="006D71B7" w:rsidRDefault="007A7FB7" w:rsidP="000B4ECA">
      <w:pPr>
        <w:pStyle w:val="Heading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9</w:t>
      </w:r>
      <w:r w:rsidR="000B4ECA">
        <w:rPr>
          <w:rFonts w:asciiTheme="minorHAnsi" w:hAnsiTheme="minorHAnsi" w:cstheme="minorHAnsi"/>
          <w:sz w:val="20"/>
          <w:szCs w:val="20"/>
        </w:rPr>
        <w:t>.</w:t>
      </w:r>
      <w:r w:rsidR="000B4ECA" w:rsidRPr="006D71B7">
        <w:rPr>
          <w:rFonts w:asciiTheme="minorHAnsi" w:hAnsiTheme="minorHAnsi" w:cstheme="minorHAnsi"/>
          <w:sz w:val="20"/>
          <w:szCs w:val="20"/>
        </w:rPr>
        <w:tab/>
      </w:r>
      <w:r w:rsidR="000B4ECA">
        <w:rPr>
          <w:rFonts w:asciiTheme="minorHAnsi" w:hAnsiTheme="minorHAnsi" w:cstheme="minorHAnsi"/>
          <w:sz w:val="20"/>
          <w:szCs w:val="20"/>
        </w:rPr>
        <w:t>Pooled Technical Quality Control (QC)</w:t>
      </w:r>
      <w:r w:rsidR="000B4ECA" w:rsidRPr="006D71B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4620530" w14:textId="6C29568D" w:rsidR="006D2A6E" w:rsidRPr="006D2A6E" w:rsidRDefault="006D2A6E" w:rsidP="00D01E7E">
      <w:pPr>
        <w:numPr>
          <w:ilvl w:val="0"/>
          <w:numId w:val="24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6D2A6E">
        <w:rPr>
          <w:rFonts w:asciiTheme="minorHAnsi" w:hAnsiTheme="minorHAnsi" w:cstheme="minorHAnsi"/>
          <w:sz w:val="20"/>
          <w:szCs w:val="20"/>
        </w:rPr>
        <w:t>Prepare</w:t>
      </w:r>
      <w:r w:rsidR="00A11F31">
        <w:rPr>
          <w:rFonts w:asciiTheme="minorHAnsi" w:hAnsiTheme="minorHAnsi" w:cstheme="minorHAnsi"/>
          <w:sz w:val="20"/>
          <w:szCs w:val="20"/>
        </w:rPr>
        <w:t xml:space="preserve"> </w:t>
      </w:r>
      <w:r w:rsidRPr="006D2A6E">
        <w:rPr>
          <w:rFonts w:asciiTheme="minorHAnsi" w:hAnsiTheme="minorHAnsi" w:cstheme="minorHAnsi"/>
          <w:sz w:val="20"/>
          <w:szCs w:val="20"/>
        </w:rPr>
        <w:t>QC samples by pooling equal volumes</w:t>
      </w:r>
      <w:r w:rsidR="00A11F31">
        <w:rPr>
          <w:rFonts w:asciiTheme="minorHAnsi" w:hAnsiTheme="minorHAnsi" w:cstheme="minorHAnsi"/>
          <w:sz w:val="20"/>
          <w:szCs w:val="20"/>
        </w:rPr>
        <w:t xml:space="preserve"> </w:t>
      </w:r>
      <w:r w:rsidRPr="006D2A6E">
        <w:rPr>
          <w:rFonts w:asciiTheme="minorHAnsi" w:hAnsiTheme="minorHAnsi" w:cstheme="minorHAnsi"/>
          <w:sz w:val="20"/>
          <w:szCs w:val="20"/>
        </w:rPr>
        <w:t>(e.g., 25 µL) from each extract.</w:t>
      </w:r>
    </w:p>
    <w:p w14:paraId="4B713440" w14:textId="4A4C2717" w:rsidR="000B4ECA" w:rsidRPr="000B4ECA" w:rsidRDefault="007A7FB7" w:rsidP="000B4ECA">
      <w:pPr>
        <w:pStyle w:val="Heading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 w:rsidR="000B4ECA">
        <w:rPr>
          <w:rFonts w:asciiTheme="minorHAnsi" w:hAnsiTheme="minorHAnsi" w:cstheme="minorHAnsi"/>
          <w:sz w:val="20"/>
          <w:szCs w:val="20"/>
        </w:rPr>
        <w:t>.</w:t>
      </w:r>
      <w:r w:rsidR="000B4ECA" w:rsidRPr="006D71B7">
        <w:rPr>
          <w:rFonts w:asciiTheme="minorHAnsi" w:hAnsiTheme="minorHAnsi" w:cstheme="minorHAnsi"/>
          <w:sz w:val="20"/>
          <w:szCs w:val="20"/>
        </w:rPr>
        <w:tab/>
      </w:r>
      <w:r w:rsidR="000B4ECA">
        <w:rPr>
          <w:rFonts w:asciiTheme="minorHAnsi" w:hAnsiTheme="minorHAnsi" w:cstheme="minorHAnsi"/>
          <w:sz w:val="20"/>
          <w:szCs w:val="20"/>
        </w:rPr>
        <w:t>Process Blank (Extraction Blank)</w:t>
      </w:r>
      <w:r w:rsidR="000B4ECA" w:rsidRPr="006D71B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E8F87B0" w14:textId="29A2CCE1" w:rsidR="006D2A6E" w:rsidRPr="00AA6C9A" w:rsidRDefault="006D2A6E" w:rsidP="00AA6C9A">
      <w:pPr>
        <w:pStyle w:val="ListParagraph"/>
        <w:numPr>
          <w:ilvl w:val="0"/>
          <w:numId w:val="36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Prepare one blank per batch using extraction solvent in an empty tube.</w:t>
      </w:r>
    </w:p>
    <w:p w14:paraId="135550FE" w14:textId="77777777" w:rsidR="006D2A6E" w:rsidRPr="00AA6C9A" w:rsidRDefault="006D2A6E" w:rsidP="00AA6C9A">
      <w:pPr>
        <w:pStyle w:val="ListParagraph"/>
        <w:numPr>
          <w:ilvl w:val="0"/>
          <w:numId w:val="36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Process identically to samples (vortex, sonicate, centrifuge, dry if applicable).</w:t>
      </w:r>
    </w:p>
    <w:p w14:paraId="7C772563" w14:textId="2DBC57A1" w:rsidR="000B4ECA" w:rsidRPr="006D71B7" w:rsidRDefault="007A7FB7" w:rsidP="000B4ECA">
      <w:pPr>
        <w:pStyle w:val="Heading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11</w:t>
      </w:r>
      <w:r w:rsidR="000B4ECA">
        <w:rPr>
          <w:rFonts w:asciiTheme="minorHAnsi" w:hAnsiTheme="minorHAnsi" w:cstheme="minorHAnsi"/>
          <w:sz w:val="20"/>
          <w:szCs w:val="20"/>
        </w:rPr>
        <w:t>.</w:t>
      </w:r>
      <w:r w:rsidR="000B4ECA" w:rsidRPr="006D71B7">
        <w:rPr>
          <w:rFonts w:asciiTheme="minorHAnsi" w:hAnsiTheme="minorHAnsi" w:cstheme="minorHAnsi"/>
          <w:sz w:val="20"/>
          <w:szCs w:val="20"/>
        </w:rPr>
        <w:tab/>
      </w:r>
      <w:r w:rsidR="000B4ECA">
        <w:rPr>
          <w:rFonts w:asciiTheme="minorHAnsi" w:hAnsiTheme="minorHAnsi" w:cstheme="minorHAnsi"/>
          <w:sz w:val="20"/>
          <w:szCs w:val="20"/>
        </w:rPr>
        <w:t>Documentation</w:t>
      </w:r>
    </w:p>
    <w:p w14:paraId="61E2A40A" w14:textId="77777777" w:rsidR="006D2A6E" w:rsidRDefault="006D2A6E" w:rsidP="00AA6C9A">
      <w:pPr>
        <w:pStyle w:val="ListParagraph"/>
        <w:numPr>
          <w:ilvl w:val="0"/>
          <w:numId w:val="37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Record:</w:t>
      </w:r>
    </w:p>
    <w:p w14:paraId="7ABB6E68" w14:textId="77777777" w:rsidR="00AA6C9A" w:rsidRPr="00AA6C9A" w:rsidRDefault="00AA6C9A" w:rsidP="00AA6C9A">
      <w:pPr>
        <w:pStyle w:val="ListParagraph"/>
        <w:numPr>
          <w:ilvl w:val="1"/>
          <w:numId w:val="37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Sample ID, tissue type, wet weight, dry weight (if used)</w:t>
      </w:r>
    </w:p>
    <w:p w14:paraId="560A8DC6" w14:textId="77777777" w:rsidR="00AA6C9A" w:rsidRPr="00AA6C9A" w:rsidRDefault="00AA6C9A" w:rsidP="00AA6C9A">
      <w:pPr>
        <w:pStyle w:val="ListParagraph"/>
        <w:numPr>
          <w:ilvl w:val="1"/>
          <w:numId w:val="37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Extraction and homogenization dates</w:t>
      </w:r>
    </w:p>
    <w:p w14:paraId="74C4C52E" w14:textId="77777777" w:rsidR="00AA6C9A" w:rsidRDefault="00AA6C9A" w:rsidP="00AA6C9A">
      <w:pPr>
        <w:pStyle w:val="ListParagraph"/>
        <w:numPr>
          <w:ilvl w:val="1"/>
          <w:numId w:val="37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Any deviations or sample issues</w:t>
      </w:r>
    </w:p>
    <w:p w14:paraId="79835E20" w14:textId="0954B0EB" w:rsidR="00C61AF5" w:rsidRPr="00AA6C9A" w:rsidRDefault="00C61AF5" w:rsidP="00AA6C9A">
      <w:pPr>
        <w:pStyle w:val="ListParagraph"/>
        <w:numPr>
          <w:ilvl w:val="1"/>
          <w:numId w:val="37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Reagents and lot numbers</w:t>
      </w:r>
    </w:p>
    <w:p w14:paraId="2BA30A08" w14:textId="515E1019" w:rsidR="000B4ECA" w:rsidRPr="006D71B7" w:rsidRDefault="000B4ECA" w:rsidP="000B4ECA">
      <w:pPr>
        <w:pStyle w:val="Heading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</w:t>
      </w:r>
      <w:r w:rsidR="007A7FB7">
        <w:rPr>
          <w:rFonts w:asciiTheme="minorHAnsi" w:hAnsiTheme="minorHAnsi" w:cstheme="minorHAnsi"/>
          <w:sz w:val="20"/>
          <w:szCs w:val="20"/>
        </w:rPr>
        <w:t>2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6D71B7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Notes</w:t>
      </w:r>
      <w:r w:rsidRPr="006D71B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3CCD581" w14:textId="39C24D4F" w:rsidR="006D2A6E" w:rsidRPr="00AA6C9A" w:rsidRDefault="006D2A6E" w:rsidP="00AA6C9A">
      <w:pPr>
        <w:pStyle w:val="ListParagraph"/>
        <w:numPr>
          <w:ilvl w:val="0"/>
          <w:numId w:val="37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Randomize extraction order</w:t>
      </w:r>
      <w:r w:rsidR="00495C6D">
        <w:rPr>
          <w:rFonts w:asciiTheme="minorHAnsi" w:hAnsiTheme="minorHAnsi" w:cstheme="minorHAnsi"/>
          <w:sz w:val="20"/>
          <w:szCs w:val="20"/>
        </w:rPr>
        <w:t>.</w:t>
      </w:r>
    </w:p>
    <w:p w14:paraId="24279879" w14:textId="1F988A29" w:rsidR="006D2A6E" w:rsidRPr="00AA6C9A" w:rsidRDefault="00B30D0F" w:rsidP="00AA6C9A">
      <w:pPr>
        <w:pStyle w:val="ListParagraph"/>
        <w:numPr>
          <w:ilvl w:val="0"/>
          <w:numId w:val="37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Short-term</w:t>
      </w:r>
      <w:r w:rsidR="006D2A6E" w:rsidRPr="00AA6C9A">
        <w:rPr>
          <w:rFonts w:asciiTheme="minorHAnsi" w:hAnsiTheme="minorHAnsi" w:cstheme="minorHAnsi"/>
          <w:sz w:val="20"/>
          <w:szCs w:val="20"/>
        </w:rPr>
        <w:t xml:space="preserve"> storage 4 </w:t>
      </w:r>
      <w:r w:rsidR="00060283">
        <w:rPr>
          <w:rFonts w:asciiTheme="minorHAnsi" w:hAnsiTheme="minorHAnsi" w:cstheme="minorHAnsi"/>
          <w:sz w:val="20"/>
          <w:szCs w:val="20"/>
        </w:rPr>
        <w:t>to</w:t>
      </w:r>
      <w:r w:rsidR="006D2A6E" w:rsidRPr="00AA6C9A">
        <w:rPr>
          <w:rFonts w:asciiTheme="minorHAnsi" w:hAnsiTheme="minorHAnsi" w:cstheme="minorHAnsi"/>
          <w:sz w:val="20"/>
          <w:szCs w:val="20"/>
        </w:rPr>
        <w:t xml:space="preserve"> -20 °C</w:t>
      </w:r>
      <w:r w:rsidR="00A11F31">
        <w:rPr>
          <w:rFonts w:asciiTheme="minorHAnsi" w:hAnsiTheme="minorHAnsi" w:cstheme="minorHAnsi"/>
          <w:sz w:val="20"/>
          <w:szCs w:val="20"/>
        </w:rPr>
        <w:t>;</w:t>
      </w:r>
      <w:r w:rsidR="006D2A6E" w:rsidRPr="00AA6C9A">
        <w:rPr>
          <w:rFonts w:asciiTheme="minorHAnsi" w:hAnsiTheme="minorHAnsi" w:cstheme="minorHAnsi"/>
          <w:sz w:val="20"/>
          <w:szCs w:val="20"/>
        </w:rPr>
        <w:t xml:space="preserve"> long term storage -20 </w:t>
      </w:r>
      <w:r w:rsidR="00060283">
        <w:rPr>
          <w:rFonts w:asciiTheme="minorHAnsi" w:hAnsiTheme="minorHAnsi" w:cstheme="minorHAnsi"/>
          <w:sz w:val="20"/>
          <w:szCs w:val="20"/>
        </w:rPr>
        <w:t>to</w:t>
      </w:r>
      <w:r w:rsidR="006D2A6E" w:rsidRPr="00AA6C9A">
        <w:rPr>
          <w:rFonts w:asciiTheme="minorHAnsi" w:hAnsiTheme="minorHAnsi" w:cstheme="minorHAnsi"/>
          <w:sz w:val="20"/>
          <w:szCs w:val="20"/>
        </w:rPr>
        <w:t xml:space="preserve"> -80 °C</w:t>
      </w:r>
      <w:r w:rsidR="00495C6D">
        <w:rPr>
          <w:rFonts w:asciiTheme="minorHAnsi" w:hAnsiTheme="minorHAnsi" w:cstheme="minorHAnsi"/>
          <w:sz w:val="20"/>
          <w:szCs w:val="20"/>
        </w:rPr>
        <w:t>.</w:t>
      </w:r>
    </w:p>
    <w:p w14:paraId="1E110EEF" w14:textId="39F91139" w:rsidR="006D2A6E" w:rsidRDefault="006D2A6E" w:rsidP="00AA6C9A">
      <w:pPr>
        <w:pStyle w:val="ListParagraph"/>
        <w:numPr>
          <w:ilvl w:val="0"/>
          <w:numId w:val="37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 w:rsidRPr="00AA6C9A">
        <w:rPr>
          <w:rFonts w:asciiTheme="minorHAnsi" w:hAnsiTheme="minorHAnsi" w:cstheme="minorHAnsi"/>
          <w:sz w:val="20"/>
          <w:szCs w:val="20"/>
        </w:rPr>
        <w:t>If particulates are observed or disrupted after centrifugation</w:t>
      </w:r>
      <w:r w:rsidR="00A11F31">
        <w:rPr>
          <w:rFonts w:asciiTheme="minorHAnsi" w:hAnsiTheme="minorHAnsi" w:cstheme="minorHAnsi"/>
          <w:sz w:val="20"/>
          <w:szCs w:val="20"/>
        </w:rPr>
        <w:t>,</w:t>
      </w:r>
      <w:r w:rsidRPr="00AA6C9A">
        <w:rPr>
          <w:rFonts w:asciiTheme="minorHAnsi" w:hAnsiTheme="minorHAnsi" w:cstheme="minorHAnsi"/>
          <w:sz w:val="20"/>
          <w:szCs w:val="20"/>
        </w:rPr>
        <w:t xml:space="preserve"> then re-centrifuge sample</w:t>
      </w:r>
      <w:r w:rsidR="00495C6D">
        <w:rPr>
          <w:rFonts w:asciiTheme="minorHAnsi" w:hAnsiTheme="minorHAnsi" w:cstheme="minorHAnsi"/>
          <w:sz w:val="20"/>
          <w:szCs w:val="20"/>
        </w:rPr>
        <w:t>.</w:t>
      </w:r>
    </w:p>
    <w:p w14:paraId="5766A190" w14:textId="3157FE57" w:rsidR="00A00280" w:rsidRPr="00A00280" w:rsidRDefault="00A00280" w:rsidP="00A00280">
      <w:pPr>
        <w:pStyle w:val="ListParagraph"/>
        <w:numPr>
          <w:ilvl w:val="0"/>
          <w:numId w:val="37"/>
        </w:numPr>
        <w:spacing w:after="160"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Produce double blank for each batch; constructed by just using re-suspension buffer.</w:t>
      </w:r>
    </w:p>
    <w:p w14:paraId="33CF772E" w14:textId="2B3E39BC" w:rsidR="000B4ECA" w:rsidRPr="006D71B7" w:rsidRDefault="000B4ECA" w:rsidP="000B4ECA">
      <w:pPr>
        <w:pStyle w:val="Heading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</w:t>
      </w:r>
      <w:r w:rsidR="007A7FB7">
        <w:rPr>
          <w:rFonts w:asciiTheme="minorHAnsi" w:hAnsiTheme="minorHAnsi" w:cstheme="minorHAnsi"/>
          <w:sz w:val="20"/>
          <w:szCs w:val="20"/>
        </w:rPr>
        <w:t>3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6D71B7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References</w:t>
      </w:r>
      <w:r w:rsidRPr="006D71B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40DA43E" w14:textId="77777777" w:rsidR="00C61AF5" w:rsidRPr="00C61AF5" w:rsidRDefault="00C61AF5" w:rsidP="00C61AF5">
      <w:pPr>
        <w:pStyle w:val="ListParagraph"/>
        <w:numPr>
          <w:ilvl w:val="0"/>
          <w:numId w:val="40"/>
        </w:numPr>
        <w:rPr>
          <w:rFonts w:asciiTheme="minorHAnsi" w:hAnsiTheme="minorHAnsi" w:cstheme="minorHAnsi"/>
          <w:sz w:val="20"/>
          <w:szCs w:val="20"/>
        </w:rPr>
      </w:pPr>
      <w:r w:rsidRPr="00C61AF5">
        <w:rPr>
          <w:rFonts w:asciiTheme="minorHAnsi" w:hAnsiTheme="minorHAnsi" w:cstheme="minorHAnsi"/>
          <w:sz w:val="20"/>
          <w:szCs w:val="20"/>
        </w:rPr>
        <w:t>Matyash, V., et al. (2008). Lipid extraction by methyl-tert-butyl ether for high-throughput lipidomics. J. Lipid Res. 49(5):1137–1146. https://doi.org/10.1194/jlr.D700041-JLR200</w:t>
      </w:r>
    </w:p>
    <w:p w14:paraId="47747AD3" w14:textId="49FAF6C7" w:rsidR="006D2A6E" w:rsidRPr="006D2A6E" w:rsidRDefault="006D2A6E" w:rsidP="00C61AF5">
      <w:pPr>
        <w:spacing w:after="160" w:line="276" w:lineRule="auto"/>
        <w:rPr>
          <w:rFonts w:asciiTheme="minorHAnsi" w:hAnsiTheme="minorHAnsi" w:cstheme="minorHAnsi"/>
          <w:sz w:val="20"/>
          <w:szCs w:val="20"/>
        </w:rPr>
      </w:pPr>
    </w:p>
    <w:sectPr w:rsidR="006D2A6E" w:rsidRPr="006D2A6E" w:rsidSect="00C22CBF">
      <w:headerReference w:type="default" r:id="rId8"/>
      <w:footerReference w:type="default" r:id="rId9"/>
      <w:pgSz w:w="12240" w:h="15840" w:code="1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A0FBA" w14:textId="77777777" w:rsidR="00C34951" w:rsidRDefault="00C34951">
      <w:r>
        <w:separator/>
      </w:r>
    </w:p>
  </w:endnote>
  <w:endnote w:type="continuationSeparator" w:id="0">
    <w:p w14:paraId="639019FB" w14:textId="77777777" w:rsidR="00C34951" w:rsidRDefault="00C34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015E1" w14:textId="77777777" w:rsidR="004A48DB" w:rsidRDefault="004A48DB">
    <w:pPr>
      <w:pStyle w:val="Footer"/>
    </w:pPr>
    <w:r>
      <w:t>Documents: SOP short-form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FFF15" w14:textId="77777777" w:rsidR="00C34951" w:rsidRDefault="00C34951">
      <w:r>
        <w:separator/>
      </w:r>
    </w:p>
  </w:footnote>
  <w:footnote w:type="continuationSeparator" w:id="0">
    <w:p w14:paraId="47A4397C" w14:textId="77777777" w:rsidR="00C34951" w:rsidRDefault="00C34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23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Look w:val="0000" w:firstRow="0" w:lastRow="0" w:firstColumn="0" w:lastColumn="0" w:noHBand="0" w:noVBand="0"/>
    </w:tblPr>
    <w:tblGrid>
      <w:gridCol w:w="2538"/>
      <w:gridCol w:w="3198"/>
      <w:gridCol w:w="2299"/>
      <w:gridCol w:w="1188"/>
    </w:tblGrid>
    <w:tr w:rsidR="004A48DB" w14:paraId="63BC43CA" w14:textId="77777777" w:rsidTr="007D73D6">
      <w:trPr>
        <w:trHeight w:val="360"/>
      </w:trPr>
      <w:tc>
        <w:tcPr>
          <w:tcW w:w="2538" w:type="dxa"/>
          <w:vMerge w:val="restart"/>
          <w:vAlign w:val="center"/>
        </w:tcPr>
        <w:p w14:paraId="598C9A17" w14:textId="77777777" w:rsidR="004A48DB" w:rsidRDefault="004A48DB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65E1D200" wp14:editId="2342311A">
                <wp:extent cx="1323975" cy="1323975"/>
                <wp:effectExtent l="0" t="0" r="9525" b="9525"/>
                <wp:docPr id="1" name="Picture 1" descr="UofU_official_se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ofU_official_se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8" w:type="dxa"/>
          <w:vMerge w:val="restart"/>
          <w:vAlign w:val="center"/>
        </w:tcPr>
        <w:p w14:paraId="02004B03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Metabolomics Core Lab</w:t>
          </w:r>
        </w:p>
        <w:p w14:paraId="604A5FB8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School of Medicine</w:t>
          </w:r>
        </w:p>
        <w:p w14:paraId="20470771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University of Utah</w:t>
          </w:r>
        </w:p>
        <w:p w14:paraId="5FF52C40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2299" w:type="dxa"/>
          <w:vAlign w:val="center"/>
        </w:tcPr>
        <w:p w14:paraId="5BAF87E9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SOP #</w:t>
          </w:r>
        </w:p>
      </w:tc>
      <w:tc>
        <w:tcPr>
          <w:tcW w:w="1188" w:type="dxa"/>
          <w:vAlign w:val="center"/>
        </w:tcPr>
        <w:p w14:paraId="77FDEEBA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</w:t>
          </w:r>
        </w:p>
      </w:tc>
    </w:tr>
    <w:tr w:rsidR="004A48DB" w14:paraId="3B0AE322" w14:textId="77777777" w:rsidTr="007D73D6">
      <w:trPr>
        <w:trHeight w:val="360"/>
      </w:trPr>
      <w:tc>
        <w:tcPr>
          <w:tcW w:w="2538" w:type="dxa"/>
          <w:vMerge/>
          <w:vAlign w:val="center"/>
        </w:tcPr>
        <w:p w14:paraId="48817DB7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198" w:type="dxa"/>
          <w:vMerge/>
          <w:vAlign w:val="center"/>
        </w:tcPr>
        <w:p w14:paraId="2AC0AD73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299" w:type="dxa"/>
          <w:vAlign w:val="center"/>
        </w:tcPr>
        <w:p w14:paraId="3CCAD1B2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Revision #</w:t>
          </w:r>
        </w:p>
      </w:tc>
      <w:tc>
        <w:tcPr>
          <w:tcW w:w="1188" w:type="dxa"/>
          <w:vAlign w:val="center"/>
        </w:tcPr>
        <w:p w14:paraId="4BDB66FD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1.</w:t>
          </w:r>
          <w:r w:rsidR="00FD146E">
            <w:rPr>
              <w:rFonts w:ascii="Arial" w:hAnsi="Arial" w:cs="Arial"/>
              <w:sz w:val="18"/>
              <w:szCs w:val="18"/>
            </w:rPr>
            <w:t>1</w:t>
          </w:r>
        </w:p>
      </w:tc>
    </w:tr>
    <w:tr w:rsidR="004A48DB" w14:paraId="6595C60C" w14:textId="77777777" w:rsidTr="007D73D6">
      <w:trPr>
        <w:trHeight w:val="360"/>
      </w:trPr>
      <w:tc>
        <w:tcPr>
          <w:tcW w:w="2538" w:type="dxa"/>
          <w:vMerge/>
          <w:vAlign w:val="center"/>
        </w:tcPr>
        <w:p w14:paraId="2BB8666B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198" w:type="dxa"/>
          <w:vMerge/>
          <w:vAlign w:val="center"/>
        </w:tcPr>
        <w:p w14:paraId="5C3DF342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299" w:type="dxa"/>
          <w:vAlign w:val="center"/>
        </w:tcPr>
        <w:p w14:paraId="4FAA0364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Implementation Date</w:t>
          </w:r>
        </w:p>
      </w:tc>
      <w:tc>
        <w:tcPr>
          <w:tcW w:w="1188" w:type="dxa"/>
          <w:vAlign w:val="center"/>
        </w:tcPr>
        <w:p w14:paraId="4850FA0E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4A48DB" w14:paraId="29B53C2A" w14:textId="77777777" w:rsidTr="007D73D6">
      <w:trPr>
        <w:trHeight w:val="360"/>
      </w:trPr>
      <w:tc>
        <w:tcPr>
          <w:tcW w:w="2538" w:type="dxa"/>
          <w:vAlign w:val="center"/>
        </w:tcPr>
        <w:p w14:paraId="3DDBA7D4" w14:textId="1AB5CBF3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Page #</w:t>
          </w:r>
          <w:r w:rsidR="005F794F" w:rsidRPr="005F794F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="005F794F" w:rsidRPr="005F794F">
            <w:rPr>
              <w:rFonts w:ascii="Arial" w:hAnsi="Arial" w:cs="Arial"/>
              <w:b/>
              <w:bCs/>
              <w:sz w:val="18"/>
              <w:szCs w:val="18"/>
            </w:rPr>
            <w:instrText xml:space="preserve"> PAGE   \* MERGEFORMAT </w:instrText>
          </w:r>
          <w:r w:rsidR="005F794F" w:rsidRPr="005F794F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 w:rsidR="005F794F" w:rsidRPr="005F794F"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="005F794F" w:rsidRPr="005F794F">
            <w:rPr>
              <w:rFonts w:ascii="Arial" w:hAnsi="Arial" w:cs="Arial"/>
              <w:b/>
              <w:bCs/>
              <w:noProof/>
              <w:sz w:val="18"/>
              <w:szCs w:val="18"/>
            </w:rPr>
            <w:fldChar w:fldCharType="end"/>
          </w:r>
        </w:p>
      </w:tc>
      <w:tc>
        <w:tcPr>
          <w:tcW w:w="3198" w:type="dxa"/>
          <w:vAlign w:val="center"/>
        </w:tcPr>
        <w:p w14:paraId="2EC25851" w14:textId="6C73B281" w:rsidR="004A48DB" w:rsidRDefault="00BB4358" w:rsidP="00FD146E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BB4358">
            <w:rPr>
              <w:rFonts w:ascii="Arial" w:hAnsi="Arial" w:cs="Arial"/>
              <w:sz w:val="18"/>
              <w:szCs w:val="18"/>
            </w:rPr>
            <w:fldChar w:fldCharType="begin"/>
          </w:r>
          <w:r w:rsidRPr="00BB4358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BB4358">
            <w:rPr>
              <w:rFonts w:ascii="Arial" w:hAnsi="Arial" w:cs="Arial"/>
              <w:sz w:val="18"/>
              <w:szCs w:val="18"/>
            </w:rPr>
            <w:fldChar w:fldCharType="separate"/>
          </w:r>
          <w:r w:rsidRPr="00BB4358">
            <w:rPr>
              <w:rFonts w:ascii="Arial" w:hAnsi="Arial" w:cs="Arial"/>
              <w:sz w:val="18"/>
              <w:szCs w:val="18"/>
            </w:rPr>
            <w:t>1</w:t>
          </w:r>
          <w:r w:rsidRPr="00BB4358">
            <w:rPr>
              <w:rFonts w:ascii="Arial" w:hAnsi="Arial" w:cs="Arial"/>
              <w:noProof/>
              <w:sz w:val="18"/>
              <w:szCs w:val="18"/>
            </w:rPr>
            <w:fldChar w:fldCharType="end"/>
          </w:r>
          <w:r w:rsidR="004A48DB" w:rsidRPr="00BB4358">
            <w:rPr>
              <w:rFonts w:ascii="Arial" w:hAnsi="Arial" w:cs="Arial"/>
              <w:sz w:val="18"/>
              <w:szCs w:val="18"/>
            </w:rPr>
            <w:t xml:space="preserve"> </w:t>
          </w:r>
          <w:r w:rsidR="004A48DB">
            <w:rPr>
              <w:rFonts w:ascii="Arial" w:hAnsi="Arial" w:cs="Arial"/>
              <w:sz w:val="18"/>
              <w:szCs w:val="18"/>
            </w:rPr>
            <w:t xml:space="preserve">of </w:t>
          </w:r>
          <w:r w:rsidR="00403165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2299" w:type="dxa"/>
          <w:vAlign w:val="center"/>
        </w:tcPr>
        <w:p w14:paraId="70C2EF45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Last Reviewed/Update Date</w:t>
          </w:r>
        </w:p>
      </w:tc>
      <w:tc>
        <w:tcPr>
          <w:tcW w:w="1188" w:type="dxa"/>
          <w:vAlign w:val="center"/>
        </w:tcPr>
        <w:p w14:paraId="01620DBA" w14:textId="4622B172" w:rsidR="004A48DB" w:rsidRDefault="00C900E8" w:rsidP="00C900E8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0</w:t>
          </w:r>
          <w:r w:rsidR="006D2A6E">
            <w:rPr>
              <w:rFonts w:ascii="Arial" w:hAnsi="Arial" w:cs="Arial"/>
              <w:sz w:val="18"/>
              <w:szCs w:val="18"/>
            </w:rPr>
            <w:t>8</w:t>
          </w:r>
          <w:r>
            <w:rPr>
              <w:rFonts w:ascii="Arial" w:hAnsi="Arial" w:cs="Arial"/>
              <w:sz w:val="18"/>
              <w:szCs w:val="18"/>
            </w:rPr>
            <w:t>/</w:t>
          </w:r>
          <w:r w:rsidR="00BB4358">
            <w:rPr>
              <w:rFonts w:ascii="Arial" w:hAnsi="Arial" w:cs="Arial"/>
              <w:sz w:val="18"/>
              <w:szCs w:val="18"/>
            </w:rPr>
            <w:t>13</w:t>
          </w:r>
          <w:r>
            <w:rPr>
              <w:rFonts w:ascii="Arial" w:hAnsi="Arial" w:cs="Arial"/>
              <w:sz w:val="18"/>
              <w:szCs w:val="18"/>
            </w:rPr>
            <w:t>/</w:t>
          </w:r>
          <w:r w:rsidR="004A48DB">
            <w:rPr>
              <w:rFonts w:ascii="Arial" w:hAnsi="Arial" w:cs="Arial"/>
              <w:sz w:val="18"/>
              <w:szCs w:val="18"/>
            </w:rPr>
            <w:t>20</w:t>
          </w:r>
          <w:r w:rsidR="006D2A6E">
            <w:rPr>
              <w:rFonts w:ascii="Arial" w:hAnsi="Arial" w:cs="Arial"/>
              <w:sz w:val="18"/>
              <w:szCs w:val="18"/>
            </w:rPr>
            <w:t>25</w:t>
          </w:r>
        </w:p>
      </w:tc>
    </w:tr>
    <w:tr w:rsidR="004A48DB" w14:paraId="1FC6DB1D" w14:textId="77777777" w:rsidTr="007D73D6">
      <w:trPr>
        <w:trHeight w:val="360"/>
      </w:trPr>
      <w:tc>
        <w:tcPr>
          <w:tcW w:w="2538" w:type="dxa"/>
          <w:vAlign w:val="center"/>
        </w:tcPr>
        <w:p w14:paraId="28D1D574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SOP Owner</w:t>
          </w:r>
        </w:p>
      </w:tc>
      <w:tc>
        <w:tcPr>
          <w:tcW w:w="3198" w:type="dxa"/>
          <w:vAlign w:val="center"/>
        </w:tcPr>
        <w:p w14:paraId="14F678FB" w14:textId="4F0A83FF" w:rsidR="004A48DB" w:rsidRDefault="00BB4358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Trevor Lonergan</w:t>
          </w:r>
        </w:p>
      </w:tc>
      <w:tc>
        <w:tcPr>
          <w:tcW w:w="2299" w:type="dxa"/>
          <w:vAlign w:val="center"/>
        </w:tcPr>
        <w:p w14:paraId="4E8BE8FF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Approval</w:t>
          </w:r>
        </w:p>
      </w:tc>
      <w:tc>
        <w:tcPr>
          <w:tcW w:w="1188" w:type="dxa"/>
          <w:vAlign w:val="center"/>
        </w:tcPr>
        <w:p w14:paraId="68765C7B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</w:tbl>
  <w:p w14:paraId="2AD0A7C0" w14:textId="77777777" w:rsidR="004A48DB" w:rsidRDefault="004A48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4030"/>
    <w:multiLevelType w:val="hybridMultilevel"/>
    <w:tmpl w:val="804A3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019CD"/>
    <w:multiLevelType w:val="hybridMultilevel"/>
    <w:tmpl w:val="96BC3EC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C34CA3"/>
    <w:multiLevelType w:val="hybridMultilevel"/>
    <w:tmpl w:val="7BD2AC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97B4B"/>
    <w:multiLevelType w:val="hybridMultilevel"/>
    <w:tmpl w:val="7F3EE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F3A70"/>
    <w:multiLevelType w:val="multilevel"/>
    <w:tmpl w:val="2B8619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03146C"/>
    <w:multiLevelType w:val="multilevel"/>
    <w:tmpl w:val="604A7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51A8"/>
    <w:multiLevelType w:val="hybridMultilevel"/>
    <w:tmpl w:val="DB249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857A5"/>
    <w:multiLevelType w:val="hybridMultilevel"/>
    <w:tmpl w:val="98686A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D2362"/>
    <w:multiLevelType w:val="hybridMultilevel"/>
    <w:tmpl w:val="3AE6D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B4C29"/>
    <w:multiLevelType w:val="hybridMultilevel"/>
    <w:tmpl w:val="02D4E3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46264"/>
    <w:multiLevelType w:val="hybridMultilevel"/>
    <w:tmpl w:val="50C2B6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513A6"/>
    <w:multiLevelType w:val="hybridMultilevel"/>
    <w:tmpl w:val="B90C7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61800"/>
    <w:multiLevelType w:val="hybridMultilevel"/>
    <w:tmpl w:val="FA16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80D60"/>
    <w:multiLevelType w:val="hybridMultilevel"/>
    <w:tmpl w:val="115AF7B8"/>
    <w:lvl w:ilvl="0" w:tplc="553A0A14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983D10"/>
    <w:multiLevelType w:val="hybridMultilevel"/>
    <w:tmpl w:val="BDE80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A3D5D"/>
    <w:multiLevelType w:val="multilevel"/>
    <w:tmpl w:val="C32C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F35BC2"/>
    <w:multiLevelType w:val="multilevel"/>
    <w:tmpl w:val="C70C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90641D"/>
    <w:multiLevelType w:val="hybridMultilevel"/>
    <w:tmpl w:val="CC74F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10FB5"/>
    <w:multiLevelType w:val="hybridMultilevel"/>
    <w:tmpl w:val="B7F499DC"/>
    <w:lvl w:ilvl="0" w:tplc="BA42FBA6">
      <w:start w:val="61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EC3124"/>
    <w:multiLevelType w:val="multilevel"/>
    <w:tmpl w:val="D13ED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6C7087"/>
    <w:multiLevelType w:val="multilevel"/>
    <w:tmpl w:val="7884E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7B4896"/>
    <w:multiLevelType w:val="hybridMultilevel"/>
    <w:tmpl w:val="EFB0F0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B016CC"/>
    <w:multiLevelType w:val="hybridMultilevel"/>
    <w:tmpl w:val="70BC44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F7195"/>
    <w:multiLevelType w:val="hybridMultilevel"/>
    <w:tmpl w:val="4CACB1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5167D"/>
    <w:multiLevelType w:val="hybridMultilevel"/>
    <w:tmpl w:val="DD8CE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1620CC"/>
    <w:multiLevelType w:val="hybridMultilevel"/>
    <w:tmpl w:val="4714512A"/>
    <w:lvl w:ilvl="0" w:tplc="A87885B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14F08"/>
    <w:multiLevelType w:val="hybridMultilevel"/>
    <w:tmpl w:val="DD8CED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B5FDF"/>
    <w:multiLevelType w:val="hybridMultilevel"/>
    <w:tmpl w:val="70002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5748B5"/>
    <w:multiLevelType w:val="multilevel"/>
    <w:tmpl w:val="1464C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2207C5"/>
    <w:multiLevelType w:val="hybridMultilevel"/>
    <w:tmpl w:val="75640884"/>
    <w:lvl w:ilvl="0" w:tplc="06B6C23E">
      <w:start w:val="1"/>
      <w:numFmt w:val="lowerLetter"/>
      <w:lvlText w:val="%1)"/>
      <w:lvlJc w:val="left"/>
      <w:pPr>
        <w:ind w:left="630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27E2F"/>
    <w:multiLevelType w:val="hybridMultilevel"/>
    <w:tmpl w:val="50C2B6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B841A1"/>
    <w:multiLevelType w:val="hybridMultilevel"/>
    <w:tmpl w:val="EAE4CE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585887"/>
    <w:multiLevelType w:val="hybridMultilevel"/>
    <w:tmpl w:val="40DA77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B047D5"/>
    <w:multiLevelType w:val="hybridMultilevel"/>
    <w:tmpl w:val="96BC3EC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7F37892"/>
    <w:multiLevelType w:val="hybridMultilevel"/>
    <w:tmpl w:val="C0AAF5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76200E"/>
    <w:multiLevelType w:val="multilevel"/>
    <w:tmpl w:val="C18C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4D1F27"/>
    <w:multiLevelType w:val="hybridMultilevel"/>
    <w:tmpl w:val="9EF00C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A4E652A"/>
    <w:multiLevelType w:val="hybridMultilevel"/>
    <w:tmpl w:val="7ABA8D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C63DC"/>
    <w:multiLevelType w:val="hybridMultilevel"/>
    <w:tmpl w:val="09ECFF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B444D7"/>
    <w:multiLevelType w:val="hybridMultilevel"/>
    <w:tmpl w:val="EAE4CE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571582">
    <w:abstractNumId w:val="13"/>
  </w:num>
  <w:num w:numId="2" w16cid:durableId="251202066">
    <w:abstractNumId w:val="29"/>
  </w:num>
  <w:num w:numId="3" w16cid:durableId="319698294">
    <w:abstractNumId w:val="23"/>
  </w:num>
  <w:num w:numId="4" w16cid:durableId="225845241">
    <w:abstractNumId w:val="38"/>
  </w:num>
  <w:num w:numId="5" w16cid:durableId="577323051">
    <w:abstractNumId w:val="31"/>
  </w:num>
  <w:num w:numId="6" w16cid:durableId="1425805327">
    <w:abstractNumId w:val="7"/>
  </w:num>
  <w:num w:numId="7" w16cid:durableId="1838492582">
    <w:abstractNumId w:val="34"/>
  </w:num>
  <w:num w:numId="8" w16cid:durableId="622614254">
    <w:abstractNumId w:val="2"/>
  </w:num>
  <w:num w:numId="9" w16cid:durableId="1848985455">
    <w:abstractNumId w:val="30"/>
  </w:num>
  <w:num w:numId="10" w16cid:durableId="127821732">
    <w:abstractNumId w:val="32"/>
  </w:num>
  <w:num w:numId="11" w16cid:durableId="1497695008">
    <w:abstractNumId w:val="10"/>
  </w:num>
  <w:num w:numId="12" w16cid:durableId="1282803367">
    <w:abstractNumId w:val="9"/>
  </w:num>
  <w:num w:numId="13" w16cid:durableId="819276383">
    <w:abstractNumId w:val="39"/>
  </w:num>
  <w:num w:numId="14" w16cid:durableId="1545601767">
    <w:abstractNumId w:val="22"/>
  </w:num>
  <w:num w:numId="15" w16cid:durableId="2026322788">
    <w:abstractNumId w:val="21"/>
  </w:num>
  <w:num w:numId="16" w16cid:durableId="1125541424">
    <w:abstractNumId w:val="33"/>
  </w:num>
  <w:num w:numId="17" w16cid:durableId="1775975073">
    <w:abstractNumId w:val="1"/>
  </w:num>
  <w:num w:numId="18" w16cid:durableId="1113523138">
    <w:abstractNumId w:val="25"/>
  </w:num>
  <w:num w:numId="19" w16cid:durableId="910585104">
    <w:abstractNumId w:val="11"/>
  </w:num>
  <w:num w:numId="20" w16cid:durableId="2065250747">
    <w:abstractNumId w:val="20"/>
  </w:num>
  <w:num w:numId="21" w16cid:durableId="886379989">
    <w:abstractNumId w:val="35"/>
  </w:num>
  <w:num w:numId="22" w16cid:durableId="283200687">
    <w:abstractNumId w:val="16"/>
  </w:num>
  <w:num w:numId="23" w16cid:durableId="1100565486">
    <w:abstractNumId w:val="4"/>
  </w:num>
  <w:num w:numId="24" w16cid:durableId="813716293">
    <w:abstractNumId w:val="15"/>
  </w:num>
  <w:num w:numId="25" w16cid:durableId="124977855">
    <w:abstractNumId w:val="19"/>
  </w:num>
  <w:num w:numId="26" w16cid:durableId="159778769">
    <w:abstractNumId w:val="28"/>
  </w:num>
  <w:num w:numId="27" w16cid:durableId="1809516709">
    <w:abstractNumId w:val="5"/>
  </w:num>
  <w:num w:numId="28" w16cid:durableId="1432361330">
    <w:abstractNumId w:val="18"/>
  </w:num>
  <w:num w:numId="29" w16cid:durableId="846478821">
    <w:abstractNumId w:val="14"/>
  </w:num>
  <w:num w:numId="30" w16cid:durableId="271980068">
    <w:abstractNumId w:val="3"/>
  </w:num>
  <w:num w:numId="31" w16cid:durableId="523401946">
    <w:abstractNumId w:val="27"/>
  </w:num>
  <w:num w:numId="32" w16cid:durableId="1975870996">
    <w:abstractNumId w:val="24"/>
  </w:num>
  <w:num w:numId="33" w16cid:durableId="1755279294">
    <w:abstractNumId w:val="6"/>
  </w:num>
  <w:num w:numId="34" w16cid:durableId="1749383979">
    <w:abstractNumId w:val="0"/>
  </w:num>
  <w:num w:numId="35" w16cid:durableId="710224481">
    <w:abstractNumId w:val="36"/>
  </w:num>
  <w:num w:numId="36" w16cid:durableId="1333682740">
    <w:abstractNumId w:val="12"/>
  </w:num>
  <w:num w:numId="37" w16cid:durableId="651718348">
    <w:abstractNumId w:val="17"/>
  </w:num>
  <w:num w:numId="38" w16cid:durableId="1447850175">
    <w:abstractNumId w:val="8"/>
  </w:num>
  <w:num w:numId="39" w16cid:durableId="883635896">
    <w:abstractNumId w:val="26"/>
  </w:num>
  <w:num w:numId="40" w16cid:durableId="9070435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3D6"/>
    <w:rsid w:val="00016FE4"/>
    <w:rsid w:val="00054606"/>
    <w:rsid w:val="00060283"/>
    <w:rsid w:val="00076D62"/>
    <w:rsid w:val="000931B5"/>
    <w:rsid w:val="000975D6"/>
    <w:rsid w:val="000B4ECA"/>
    <w:rsid w:val="000C52D8"/>
    <w:rsid w:val="00101F8F"/>
    <w:rsid w:val="00112B96"/>
    <w:rsid w:val="00130850"/>
    <w:rsid w:val="00145B8A"/>
    <w:rsid w:val="00157CB5"/>
    <w:rsid w:val="00195792"/>
    <w:rsid w:val="00197624"/>
    <w:rsid w:val="001D064F"/>
    <w:rsid w:val="001E1E35"/>
    <w:rsid w:val="001E383A"/>
    <w:rsid w:val="001F5CA8"/>
    <w:rsid w:val="002053D2"/>
    <w:rsid w:val="00211125"/>
    <w:rsid w:val="00214CA7"/>
    <w:rsid w:val="00221872"/>
    <w:rsid w:val="0022512B"/>
    <w:rsid w:val="002765F8"/>
    <w:rsid w:val="00283922"/>
    <w:rsid w:val="002842A5"/>
    <w:rsid w:val="002B01D6"/>
    <w:rsid w:val="002B4990"/>
    <w:rsid w:val="002B4ADF"/>
    <w:rsid w:val="002D6315"/>
    <w:rsid w:val="002F5126"/>
    <w:rsid w:val="002F7608"/>
    <w:rsid w:val="00321781"/>
    <w:rsid w:val="0032517B"/>
    <w:rsid w:val="003279C4"/>
    <w:rsid w:val="003472C5"/>
    <w:rsid w:val="00362A64"/>
    <w:rsid w:val="00367810"/>
    <w:rsid w:val="00386781"/>
    <w:rsid w:val="00392D2F"/>
    <w:rsid w:val="003A2B04"/>
    <w:rsid w:val="003B7E8B"/>
    <w:rsid w:val="003F1ABA"/>
    <w:rsid w:val="003F7075"/>
    <w:rsid w:val="004000BD"/>
    <w:rsid w:val="00403165"/>
    <w:rsid w:val="00410D48"/>
    <w:rsid w:val="00421FF5"/>
    <w:rsid w:val="004241D8"/>
    <w:rsid w:val="00425499"/>
    <w:rsid w:val="00426F66"/>
    <w:rsid w:val="00437DE9"/>
    <w:rsid w:val="00444572"/>
    <w:rsid w:val="00446E5B"/>
    <w:rsid w:val="00461D07"/>
    <w:rsid w:val="00473F3B"/>
    <w:rsid w:val="00495C6D"/>
    <w:rsid w:val="004A48DB"/>
    <w:rsid w:val="004C7016"/>
    <w:rsid w:val="004D1888"/>
    <w:rsid w:val="00532608"/>
    <w:rsid w:val="005558D8"/>
    <w:rsid w:val="00597FB3"/>
    <w:rsid w:val="005A00D5"/>
    <w:rsid w:val="005B2589"/>
    <w:rsid w:val="005C0D85"/>
    <w:rsid w:val="005D23AF"/>
    <w:rsid w:val="005E1377"/>
    <w:rsid w:val="005F794F"/>
    <w:rsid w:val="006153D7"/>
    <w:rsid w:val="0063742D"/>
    <w:rsid w:val="00671A0F"/>
    <w:rsid w:val="00671D2F"/>
    <w:rsid w:val="0067278F"/>
    <w:rsid w:val="006801FD"/>
    <w:rsid w:val="00682E8F"/>
    <w:rsid w:val="00686547"/>
    <w:rsid w:val="00686845"/>
    <w:rsid w:val="00695DAD"/>
    <w:rsid w:val="006969F9"/>
    <w:rsid w:val="006C2343"/>
    <w:rsid w:val="006D2A6E"/>
    <w:rsid w:val="006D71B7"/>
    <w:rsid w:val="006F7638"/>
    <w:rsid w:val="007027F0"/>
    <w:rsid w:val="00706CDA"/>
    <w:rsid w:val="00710E30"/>
    <w:rsid w:val="00711F5C"/>
    <w:rsid w:val="00714B1D"/>
    <w:rsid w:val="00716A9E"/>
    <w:rsid w:val="00717C75"/>
    <w:rsid w:val="00725573"/>
    <w:rsid w:val="0079527E"/>
    <w:rsid w:val="007A7FB7"/>
    <w:rsid w:val="007C6931"/>
    <w:rsid w:val="007D4205"/>
    <w:rsid w:val="007D73D6"/>
    <w:rsid w:val="007F1D67"/>
    <w:rsid w:val="00830FEF"/>
    <w:rsid w:val="0083425F"/>
    <w:rsid w:val="00854616"/>
    <w:rsid w:val="00880AE9"/>
    <w:rsid w:val="008905AF"/>
    <w:rsid w:val="008A260C"/>
    <w:rsid w:val="008D6E4B"/>
    <w:rsid w:val="008F0EEF"/>
    <w:rsid w:val="0091256C"/>
    <w:rsid w:val="009230F2"/>
    <w:rsid w:val="009257E2"/>
    <w:rsid w:val="0093174D"/>
    <w:rsid w:val="0093595E"/>
    <w:rsid w:val="009504B0"/>
    <w:rsid w:val="009618C9"/>
    <w:rsid w:val="009726E5"/>
    <w:rsid w:val="00980062"/>
    <w:rsid w:val="00993BA7"/>
    <w:rsid w:val="009B0AF2"/>
    <w:rsid w:val="009B327C"/>
    <w:rsid w:val="009C340B"/>
    <w:rsid w:val="009D587C"/>
    <w:rsid w:val="009D6A1E"/>
    <w:rsid w:val="009E4204"/>
    <w:rsid w:val="00A00280"/>
    <w:rsid w:val="00A11F31"/>
    <w:rsid w:val="00A146CF"/>
    <w:rsid w:val="00A20919"/>
    <w:rsid w:val="00A26A41"/>
    <w:rsid w:val="00A314AB"/>
    <w:rsid w:val="00A36BA0"/>
    <w:rsid w:val="00A42787"/>
    <w:rsid w:val="00A535CC"/>
    <w:rsid w:val="00A568FA"/>
    <w:rsid w:val="00A772FE"/>
    <w:rsid w:val="00AA6C9A"/>
    <w:rsid w:val="00AC26FE"/>
    <w:rsid w:val="00AC7F48"/>
    <w:rsid w:val="00AD5D30"/>
    <w:rsid w:val="00AD6294"/>
    <w:rsid w:val="00AE2FEE"/>
    <w:rsid w:val="00AF0E3C"/>
    <w:rsid w:val="00B129D5"/>
    <w:rsid w:val="00B30D0F"/>
    <w:rsid w:val="00B41EF4"/>
    <w:rsid w:val="00B43F60"/>
    <w:rsid w:val="00B6066C"/>
    <w:rsid w:val="00B72B24"/>
    <w:rsid w:val="00B8554F"/>
    <w:rsid w:val="00B9161B"/>
    <w:rsid w:val="00BB141B"/>
    <w:rsid w:val="00BB4358"/>
    <w:rsid w:val="00BB7754"/>
    <w:rsid w:val="00BE734D"/>
    <w:rsid w:val="00C00E6D"/>
    <w:rsid w:val="00C108AC"/>
    <w:rsid w:val="00C11AF3"/>
    <w:rsid w:val="00C22CBF"/>
    <w:rsid w:val="00C309DE"/>
    <w:rsid w:val="00C31DA1"/>
    <w:rsid w:val="00C34951"/>
    <w:rsid w:val="00C519E3"/>
    <w:rsid w:val="00C61AF5"/>
    <w:rsid w:val="00C66BC1"/>
    <w:rsid w:val="00C747BD"/>
    <w:rsid w:val="00C900E8"/>
    <w:rsid w:val="00CB5563"/>
    <w:rsid w:val="00CC4C05"/>
    <w:rsid w:val="00CF40BD"/>
    <w:rsid w:val="00D01E7E"/>
    <w:rsid w:val="00D0591A"/>
    <w:rsid w:val="00D10747"/>
    <w:rsid w:val="00D1118E"/>
    <w:rsid w:val="00D3544C"/>
    <w:rsid w:val="00D60E8F"/>
    <w:rsid w:val="00D74A53"/>
    <w:rsid w:val="00D77216"/>
    <w:rsid w:val="00D95EB4"/>
    <w:rsid w:val="00D97E93"/>
    <w:rsid w:val="00DE0D44"/>
    <w:rsid w:val="00DE1997"/>
    <w:rsid w:val="00DF39B1"/>
    <w:rsid w:val="00DF435E"/>
    <w:rsid w:val="00E063FE"/>
    <w:rsid w:val="00E1063C"/>
    <w:rsid w:val="00E31000"/>
    <w:rsid w:val="00E7402F"/>
    <w:rsid w:val="00E9008A"/>
    <w:rsid w:val="00E93B2C"/>
    <w:rsid w:val="00E95EE4"/>
    <w:rsid w:val="00EA454B"/>
    <w:rsid w:val="00EF7887"/>
    <w:rsid w:val="00F005C9"/>
    <w:rsid w:val="00F01BA4"/>
    <w:rsid w:val="00F0342C"/>
    <w:rsid w:val="00F04CF5"/>
    <w:rsid w:val="00F213E3"/>
    <w:rsid w:val="00F40B97"/>
    <w:rsid w:val="00F72AE3"/>
    <w:rsid w:val="00F7380F"/>
    <w:rsid w:val="00F818DE"/>
    <w:rsid w:val="00F84FD6"/>
    <w:rsid w:val="00FA7406"/>
    <w:rsid w:val="00FB2F1F"/>
    <w:rsid w:val="00FC376B"/>
    <w:rsid w:val="00FD146E"/>
    <w:rsid w:val="00FD5C8B"/>
    <w:rsid w:val="00FE5048"/>
    <w:rsid w:val="00FF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50A255"/>
  <w15:docId w15:val="{667AEAC5-5F78-47E5-AC22-14BC13EE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CBF"/>
    <w:rPr>
      <w:sz w:val="24"/>
      <w:szCs w:val="24"/>
    </w:rPr>
  </w:style>
  <w:style w:type="paragraph" w:styleId="Heading1">
    <w:name w:val="heading 1"/>
    <w:basedOn w:val="Normal"/>
    <w:next w:val="Normal"/>
    <w:qFormat/>
    <w:rsid w:val="00C22C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rsid w:val="00C22CBF"/>
    <w:pPr>
      <w:keepNext/>
      <w:pBdr>
        <w:bottom w:val="single" w:sz="4" w:space="1" w:color="000080"/>
      </w:pBdr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2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22CBF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basedOn w:val="DefaultParagraphFont"/>
    <w:link w:val="Heading2"/>
    <w:rsid w:val="00C22CB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2D6315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F70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707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D2A6E"/>
    <w:rPr>
      <w:color w:val="0563C1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C61A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2821E-E710-4EAC-8D53-C98885C2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>user</Company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user</dc:creator>
  <cp:keywords/>
  <dc:description/>
  <cp:lastModifiedBy>Alan Maschek</cp:lastModifiedBy>
  <cp:revision>20</cp:revision>
  <cp:lastPrinted>2017-09-20T20:59:00Z</cp:lastPrinted>
  <dcterms:created xsi:type="dcterms:W3CDTF">2025-08-13T16:54:00Z</dcterms:created>
  <dcterms:modified xsi:type="dcterms:W3CDTF">2026-04-29T18:34:00Z</dcterms:modified>
</cp:coreProperties>
</file>